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241D" w14:textId="77777777" w:rsidR="00B70824" w:rsidRPr="00B70824" w:rsidRDefault="00B70824" w:rsidP="00EF3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Primaria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comune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Goiesti</w:t>
      </w:r>
      <w:proofErr w:type="spellEnd"/>
    </w:p>
    <w:p w14:paraId="197C0AF5" w14:textId="77777777" w:rsidR="00B70824" w:rsidRPr="00B70824" w:rsidRDefault="00B70824" w:rsidP="00EF3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Dolj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D291A" w14:textId="2BB7059E" w:rsidR="0089510C" w:rsidRPr="00B70824" w:rsidRDefault="00B03C82" w:rsidP="00EF3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84E6B">
        <w:rPr>
          <w:rFonts w:ascii="Times New Roman" w:hAnsi="Times New Roman" w:cs="Times New Roman"/>
          <w:b/>
          <w:sz w:val="24"/>
          <w:szCs w:val="24"/>
        </w:rPr>
        <w:t>3651</w:t>
      </w:r>
      <w:r w:rsidRPr="00B70824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884E6B">
        <w:rPr>
          <w:rFonts w:ascii="Times New Roman" w:hAnsi="Times New Roman" w:cs="Times New Roman"/>
          <w:b/>
          <w:sz w:val="24"/>
          <w:szCs w:val="24"/>
        </w:rPr>
        <w:t>26.09.2020</w:t>
      </w:r>
    </w:p>
    <w:p w14:paraId="61DEB674" w14:textId="77777777" w:rsidR="00B03C82" w:rsidRPr="00B70824" w:rsidRDefault="00B03C82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A66CB" w14:textId="77777777" w:rsidR="00B03C82" w:rsidRPr="00B70824" w:rsidRDefault="00B03C82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4DBF" w14:textId="77777777" w:rsidR="0089510C" w:rsidRPr="00B70824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LISTA FUNCTILOR DIN CADRUL PRIMARIEI COMUNEI GOIESTI, JUDETUL DOLJ CE INTRA IN CATEGORIA PERSONALULUI PLATIT DIN FONDURI PUBLICE </w:t>
      </w:r>
    </w:p>
    <w:p w14:paraId="2CB13D41" w14:textId="77777777" w:rsidR="00754E5C" w:rsidRPr="00B70824" w:rsidRDefault="00754E5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asigurarii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transparentei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ventur</w:t>
      </w:r>
      <w:r w:rsidR="00B03C82" w:rsidRPr="00B70824">
        <w:rPr>
          <w:rFonts w:ascii="Times New Roman" w:hAnsi="Times New Roman" w:cs="Times New Roman"/>
          <w:b/>
          <w:sz w:val="24"/>
          <w:szCs w:val="24"/>
        </w:rPr>
        <w:t>i</w:t>
      </w:r>
      <w:r w:rsidRPr="00B70824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salariale</w:t>
      </w:r>
      <w:proofErr w:type="spellEnd"/>
    </w:p>
    <w:p w14:paraId="2687A82E" w14:textId="77777777" w:rsidR="0089510C" w:rsidRPr="00B70824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Conform art 33-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nr. 153/2017 cu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modficarile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BB4B8" w14:textId="77777777" w:rsidR="0089510C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60BFAD" w14:textId="77777777" w:rsidR="0089510C" w:rsidRDefault="00B70824" w:rsidP="00B708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6A6189A" w14:textId="77777777" w:rsidR="00EF3C18" w:rsidRPr="00B70824" w:rsidRDefault="00B70824" w:rsidP="00B7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F3C18" w:rsidRPr="00B70824">
        <w:rPr>
          <w:rFonts w:ascii="Times New Roman" w:hAnsi="Times New Roman" w:cs="Times New Roman"/>
          <w:sz w:val="24"/>
          <w:szCs w:val="24"/>
        </w:rPr>
        <w:t xml:space="preserve">HCL nr. 60/28.01.2020,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salariului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ocupationale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,, din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Goiesti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Goiesti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 w:rsidRPr="00B70824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EF3C18" w:rsidRPr="00B70824">
        <w:rPr>
          <w:rFonts w:ascii="Times New Roman" w:hAnsi="Times New Roman" w:cs="Times New Roman"/>
          <w:sz w:val="24"/>
          <w:szCs w:val="24"/>
        </w:rPr>
        <w:t>;</w:t>
      </w:r>
    </w:p>
    <w:p w14:paraId="6D0AB418" w14:textId="77777777" w:rsidR="003059D6" w:rsidRPr="00C240C4" w:rsidRDefault="00B70824" w:rsidP="00EF3C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nr. 153/2017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D6" w:rsidRPr="00C240C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3059D6" w:rsidRPr="00C240C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EABE8FD" w14:textId="77777777" w:rsidR="003059D6" w:rsidRPr="00B70824" w:rsidRDefault="003059D6" w:rsidP="00B70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4A91">
        <w:rPr>
          <w:rFonts w:ascii="Times New Roman" w:hAnsi="Times New Roman" w:cs="Times New Roman"/>
          <w:sz w:val="24"/>
          <w:szCs w:val="24"/>
        </w:rPr>
        <w:t xml:space="preserve">- Art. 1, art. 2  </w:t>
      </w:r>
      <w:proofErr w:type="spellStart"/>
      <w:r w:rsidRPr="00834A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A91">
        <w:rPr>
          <w:rFonts w:ascii="Times New Roman" w:hAnsi="Times New Roman" w:cs="Times New Roman"/>
          <w:sz w:val="24"/>
          <w:szCs w:val="24"/>
        </w:rPr>
        <w:t xml:space="preserve"> art. 3, din </w:t>
      </w:r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HOTĂRÂRE nr. 935 din 13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decembrie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2019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stabilirea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salariului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bază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minim brut pe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ţară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garantat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0C4" w:rsidRPr="0083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plată</w:t>
      </w:r>
      <w:proofErr w:type="spellEnd"/>
    </w:p>
    <w:p w14:paraId="34161DE2" w14:textId="77777777" w:rsidR="009D1475" w:rsidRPr="00CC2F5A" w:rsidRDefault="00834A91" w:rsidP="00CC2F5A">
      <w:pPr>
        <w:pStyle w:val="NormalWeb"/>
        <w:spacing w:before="0" w:beforeAutospacing="0" w:after="0" w:afterAutospacing="0"/>
        <w:ind w:left="360"/>
        <w:jc w:val="both"/>
        <w:rPr>
          <w:rStyle w:val="tal"/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proofErr w:type="spellStart"/>
      <w:r w:rsidR="003059D6" w:rsidRPr="00834A91">
        <w:rPr>
          <w:color w:val="000000"/>
          <w:shd w:val="clear" w:color="auto" w:fill="FFFFFF"/>
        </w:rPr>
        <w:t>Avand</w:t>
      </w:r>
      <w:proofErr w:type="spellEnd"/>
      <w:r w:rsidR="003059D6" w:rsidRPr="00834A91">
        <w:rPr>
          <w:color w:val="000000"/>
          <w:shd w:val="clear" w:color="auto" w:fill="FFFFFF"/>
        </w:rPr>
        <w:t xml:space="preserve"> in </w:t>
      </w:r>
      <w:proofErr w:type="spellStart"/>
      <w:r w:rsidR="003059D6" w:rsidRPr="00834A91">
        <w:rPr>
          <w:color w:val="000000"/>
          <w:shd w:val="clear" w:color="auto" w:fill="FFFFFF"/>
        </w:rPr>
        <w:t>vedere</w:t>
      </w:r>
      <w:proofErr w:type="spellEnd"/>
      <w:r w:rsidR="003059D6" w:rsidRPr="00834A91">
        <w:rPr>
          <w:color w:val="000000"/>
          <w:shd w:val="clear" w:color="auto" w:fill="FFFFFF"/>
        </w:rPr>
        <w:t xml:space="preserve"> HCL nr. 5/ 31.01.2018, </w:t>
      </w:r>
      <w:proofErr w:type="spellStart"/>
      <w:r w:rsidR="003059D6" w:rsidRPr="00834A91">
        <w:rPr>
          <w:color w:val="000000"/>
          <w:shd w:val="clear" w:color="auto" w:fill="FFFFFF"/>
        </w:rPr>
        <w:t>privind</w:t>
      </w:r>
      <w:proofErr w:type="spellEnd"/>
      <w:r w:rsidR="003059D6" w:rsidRPr="00834A91">
        <w:rPr>
          <w:color w:val="000000"/>
          <w:shd w:val="clear" w:color="auto" w:fill="FFFFFF"/>
        </w:rPr>
        <w:t xml:space="preserve"> </w:t>
      </w:r>
      <w:proofErr w:type="spellStart"/>
      <w:r w:rsidR="003059D6" w:rsidRPr="00834A91">
        <w:rPr>
          <w:color w:val="000000"/>
          <w:shd w:val="clear" w:color="auto" w:fill="FFFFFF"/>
        </w:rPr>
        <w:t>stabilirea</w:t>
      </w:r>
      <w:proofErr w:type="spellEnd"/>
      <w:r w:rsidR="003059D6" w:rsidRPr="00834A91">
        <w:rPr>
          <w:color w:val="000000"/>
          <w:shd w:val="clear" w:color="auto" w:fill="FFFFFF"/>
        </w:rPr>
        <w:t xml:space="preserve"> </w:t>
      </w:r>
      <w:proofErr w:type="spellStart"/>
      <w:r w:rsidR="003059D6" w:rsidRPr="00834A91">
        <w:rPr>
          <w:color w:val="000000"/>
          <w:shd w:val="clear" w:color="auto" w:fill="FFFFFF"/>
        </w:rPr>
        <w:t>salariilor</w:t>
      </w:r>
      <w:proofErr w:type="spellEnd"/>
      <w:r w:rsidR="003059D6" w:rsidRPr="00834A91">
        <w:rPr>
          <w:color w:val="000000"/>
          <w:shd w:val="clear" w:color="auto" w:fill="FFFFFF"/>
        </w:rPr>
        <w:t xml:space="preserve"> de </w:t>
      </w:r>
      <w:proofErr w:type="spellStart"/>
      <w:r w:rsidR="003059D6" w:rsidRPr="00834A91">
        <w:rPr>
          <w:color w:val="000000"/>
          <w:shd w:val="clear" w:color="auto" w:fill="FFFFFF"/>
        </w:rPr>
        <w:t>baza</w:t>
      </w:r>
      <w:proofErr w:type="spellEnd"/>
      <w:r w:rsidR="003059D6" w:rsidRPr="00834A91">
        <w:rPr>
          <w:color w:val="000000"/>
          <w:shd w:val="clear" w:color="auto" w:fill="FFFFFF"/>
        </w:rPr>
        <w:t xml:space="preserve"> </w:t>
      </w:r>
      <w:proofErr w:type="spellStart"/>
      <w:r w:rsidR="003059D6" w:rsidRPr="00834A91">
        <w:rPr>
          <w:color w:val="000000"/>
          <w:shd w:val="clear" w:color="auto" w:fill="FFFFFF"/>
        </w:rPr>
        <w:t>raportate</w:t>
      </w:r>
      <w:proofErr w:type="spellEnd"/>
      <w:r w:rsidR="003059D6" w:rsidRPr="00834A91">
        <w:rPr>
          <w:color w:val="000000"/>
          <w:shd w:val="clear" w:color="auto" w:fill="FFFFFF"/>
        </w:rPr>
        <w:t xml:space="preserve"> la </w:t>
      </w:r>
      <w:proofErr w:type="spellStart"/>
      <w:r w:rsidR="003059D6" w:rsidRPr="00834A91">
        <w:rPr>
          <w:color w:val="000000"/>
          <w:shd w:val="clear" w:color="auto" w:fill="FFFFFF"/>
        </w:rPr>
        <w:t>coeficientii</w:t>
      </w:r>
      <w:proofErr w:type="spellEnd"/>
      <w:r w:rsidR="003059D6" w:rsidRPr="00834A91">
        <w:rPr>
          <w:color w:val="000000"/>
          <w:shd w:val="clear" w:color="auto" w:fill="FFFFFF"/>
        </w:rPr>
        <w:t xml:space="preserve">  de </w:t>
      </w:r>
      <w:proofErr w:type="spellStart"/>
      <w:r w:rsidR="003059D6" w:rsidRPr="00834A91">
        <w:rPr>
          <w:color w:val="000000"/>
          <w:shd w:val="clear" w:color="auto" w:fill="FFFFFF"/>
        </w:rPr>
        <w:t>salarizare</w:t>
      </w:r>
      <w:proofErr w:type="spellEnd"/>
      <w:r w:rsidR="003059D6" w:rsidRPr="00834A91">
        <w:rPr>
          <w:color w:val="000000"/>
          <w:shd w:val="clear" w:color="auto" w:fill="FFFFFF"/>
        </w:rPr>
        <w:t>.</w:t>
      </w:r>
      <w:r w:rsidR="00391742" w:rsidRPr="00391742">
        <w:rPr>
          <w:i/>
          <w:color w:val="000000"/>
          <w:shd w:val="clear" w:color="auto" w:fill="FFFFFF"/>
        </w:rPr>
        <w:t xml:space="preserve"> </w:t>
      </w:r>
    </w:p>
    <w:p w14:paraId="4F853720" w14:textId="77777777" w:rsidR="00391742" w:rsidRDefault="00391742" w:rsidP="00391742">
      <w:pPr>
        <w:shd w:val="clear" w:color="auto" w:fill="FFFFFF"/>
        <w:spacing w:after="0"/>
        <w:jc w:val="both"/>
        <w:rPr>
          <w:rStyle w:val="tal"/>
          <w:rFonts w:asciiTheme="majorHAnsi" w:hAnsiTheme="majorHAnsi"/>
          <w:color w:val="000000"/>
          <w:shd w:val="clear" w:color="auto" w:fill="D3D3D3"/>
        </w:rPr>
      </w:pPr>
    </w:p>
    <w:p w14:paraId="44A0A02A" w14:textId="77777777" w:rsidR="00A22978" w:rsidRPr="00391742" w:rsidRDefault="00A22978" w:rsidP="00391742">
      <w:pPr>
        <w:shd w:val="clear" w:color="auto" w:fill="FFFFFF"/>
        <w:spacing w:after="0"/>
        <w:jc w:val="both"/>
        <w:rPr>
          <w:rFonts w:asciiTheme="majorHAnsi" w:hAnsiTheme="majorHAnsi"/>
          <w:color w:val="000000"/>
          <w:sz w:val="20"/>
          <w:szCs w:val="20"/>
          <w:shd w:val="clear" w:color="auto" w:fill="D3D3D3"/>
        </w:rPr>
      </w:pPr>
      <w:r w:rsidRPr="00391742">
        <w:rPr>
          <w:rStyle w:val="tal"/>
          <w:rFonts w:asciiTheme="majorHAnsi" w:hAnsiTheme="majorHAnsi"/>
          <w:color w:val="000000"/>
          <w:sz w:val="20"/>
          <w:szCs w:val="20"/>
          <w:shd w:val="clear" w:color="auto" w:fill="D3D3D3"/>
        </w:rPr>
        <w:t xml:space="preserve"> AVAND IN VEDERE PREVEDERILE  LEGISLATIVE PENTRU ANUL 2020, INDEMNIZATIA PRIMARULUI SI VICEPRIMARULUI RAMANE LA VALOAREA SALARIULUI MINIM PE ECONOMIE PENTRU ANUL 2019.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525"/>
        <w:gridCol w:w="2410"/>
        <w:gridCol w:w="1985"/>
      </w:tblGrid>
      <w:tr w:rsidR="00CC2F5A" w:rsidRPr="008D25DA" w14:paraId="47D4748C" w14:textId="77777777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76B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Nume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8D25DA">
              <w:rPr>
                <w:rFonts w:asciiTheme="majorHAnsi" w:eastAsia="Calibri" w:hAnsiTheme="majorHAnsi" w:cs="Times New Roman"/>
              </w:rPr>
              <w:t>si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8D25DA">
              <w:rPr>
                <w:rFonts w:asciiTheme="majorHAnsi" w:eastAsia="Calibri" w:hAnsiTheme="majorHAnsi" w:cs="Times New Roman"/>
              </w:rPr>
              <w:t>prenume</w:t>
            </w:r>
            <w:proofErr w:type="spellEnd"/>
          </w:p>
          <w:p w14:paraId="2119BDBF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151C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Coeficent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de </w:t>
            </w:r>
            <w:proofErr w:type="spellStart"/>
            <w:r w:rsidRPr="008D25DA">
              <w:rPr>
                <w:rFonts w:asciiTheme="majorHAnsi" w:eastAsia="Calibri" w:hAnsiTheme="majorHAnsi" w:cs="Times New Roman"/>
              </w:rPr>
              <w:t>ierarhizare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D360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Valoare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</w:t>
            </w:r>
          </w:p>
          <w:p w14:paraId="0230DBA0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Indemnizatie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8D25DA">
              <w:rPr>
                <w:rFonts w:asciiTheme="majorHAnsi" w:eastAsia="Calibri" w:hAnsiTheme="majorHAnsi" w:cs="Times New Roman"/>
              </w:rPr>
              <w:t>lunara</w:t>
            </w:r>
            <w:proofErr w:type="spellEnd"/>
          </w:p>
          <w:p w14:paraId="2766431F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14:paraId="1929C65F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747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Spor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</w:rPr>
              <w:t>implementare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</w:rPr>
              <w:t>proiecte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</w:rPr>
              <w:t>fonduri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</w:rPr>
              <w:t>europene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15%</w:t>
            </w:r>
          </w:p>
        </w:tc>
      </w:tr>
      <w:tr w:rsidR="00CC2F5A" w:rsidRPr="008D25DA" w14:paraId="3B6EBE83" w14:textId="77777777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C1C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Primar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</w:p>
          <w:p w14:paraId="4579D26D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AC8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 xml:space="preserve">4,5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4D07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9360lei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7D8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1404lei </w:t>
            </w:r>
          </w:p>
        </w:tc>
      </w:tr>
      <w:tr w:rsidR="00CC2F5A" w:rsidRPr="008D25DA" w14:paraId="1F2F4114" w14:textId="77777777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7A6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Viceprimar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</w:t>
            </w:r>
          </w:p>
          <w:p w14:paraId="7753BFE5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B72A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395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7280lei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F20" w14:textId="77777777"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1092lei </w:t>
            </w:r>
          </w:p>
        </w:tc>
      </w:tr>
      <w:tr w:rsidR="006E3C0A" w:rsidRPr="008D25DA" w14:paraId="221EC4A5" w14:textId="77777777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58E1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Consiler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local 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ADEB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14:paraId="6522E5B6" w14:textId="77777777" w:rsidR="006E3C0A" w:rsidRP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i</w:t>
            </w:r>
            <w:r w:rsidRPr="006E3C0A">
              <w:rPr>
                <w:rFonts w:asciiTheme="majorHAnsi" w:eastAsia="Calibri" w:hAnsiTheme="majorHAnsi" w:cs="Times New Roman"/>
              </w:rPr>
              <w:t>ndemnizaţia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maximă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lunară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de care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beneficiază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consilierii</w:t>
            </w:r>
            <w:proofErr w:type="spellEnd"/>
          </w:p>
          <w:p w14:paraId="06D3730D" w14:textId="77777777" w:rsidR="006E3C0A" w:rsidRP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6E3C0A">
              <w:rPr>
                <w:rFonts w:asciiTheme="majorHAnsi" w:eastAsia="Calibri" w:hAnsiTheme="majorHAnsi" w:cs="Times New Roman"/>
              </w:rPr>
              <w:t>locali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pentru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participarea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la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numărul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maxim de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şedinţe</w:t>
            </w:r>
            <w:proofErr w:type="spellEnd"/>
          </w:p>
          <w:p w14:paraId="78F17DD4" w14:textId="77777777" w:rsid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6E3C0A">
              <w:rPr>
                <w:rFonts w:asciiTheme="majorHAnsi" w:eastAsia="Calibri" w:hAnsiTheme="majorHAnsi" w:cs="Times New Roman"/>
              </w:rPr>
              <w:t>este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de 10% din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indemnizaţia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lunară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a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Primarului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cr/>
            </w:r>
          </w:p>
          <w:p w14:paraId="6375327D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</w:tr>
      <w:tr w:rsidR="006E3C0A" w:rsidRPr="008D25DA" w14:paraId="3F9DC484" w14:textId="77777777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C29D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14:paraId="47B8BE40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8674" w14:textId="77777777"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</w:tr>
    </w:tbl>
    <w:p w14:paraId="2288D485" w14:textId="77777777" w:rsidR="006E3C0A" w:rsidRPr="006E3C0A" w:rsidRDefault="006E3C0A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64DC09D" w14:textId="77777777" w:rsid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Sporuri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FE3401F" w14:textId="77777777" w:rsidR="006E3C0A" w:rsidRPr="006E3C0A" w:rsidRDefault="006E3C0A" w:rsidP="006E3C0A">
      <w:pPr>
        <w:pStyle w:val="ListParagraph"/>
        <w:numPr>
          <w:ilvl w:val="0"/>
          <w:numId w:val="2"/>
        </w:num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munca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prestată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timpul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nopţii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acordă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un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spor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25%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6C1FAD1E" w14:textId="77777777" w:rsidR="006E3C0A" w:rsidRDefault="006E3C0A" w:rsidP="00754E5C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conform art. 20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153 / 2017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salarizarea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personalului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plătit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fonduri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</w:p>
    <w:p w14:paraId="16413929" w14:textId="77777777" w:rsidR="006E3C0A" w:rsidRPr="000C183E" w:rsidRDefault="006E3C0A" w:rsidP="000C183E">
      <w:pPr>
        <w:pStyle w:val="ListParagraph"/>
        <w:numPr>
          <w:ilvl w:val="0"/>
          <w:numId w:val="2"/>
        </w:num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lastRenderedPageBreak/>
        <w:t>Personalul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exercită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activitatea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control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financiar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preventiv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>, pe</w:t>
      </w:r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perioada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exercitare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acesteia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beneficiază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o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majorare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salariului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cu 10%. - art. 15 din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nr. 153/2017</w:t>
      </w:r>
    </w:p>
    <w:p w14:paraId="5F3A84AD" w14:textId="77777777" w:rsidR="006E3C0A" w:rsidRPr="006E3C0A" w:rsidRDefault="006E3C0A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300D62F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e)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Vouchere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vacanță</w:t>
      </w:r>
      <w:proofErr w:type="spellEnd"/>
    </w:p>
    <w:p w14:paraId="3225B426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Personalul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cadrul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instituţiilor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şi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autorităţilor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beneficiază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anual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vouchere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</w:t>
      </w:r>
    </w:p>
    <w:p w14:paraId="6B7CDEEF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vacanţă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cuantum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1450 lei conform art. 36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cadru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nr.</w:t>
      </w:r>
      <w:r w:rsidR="000C183E">
        <w:rPr>
          <w:rFonts w:ascii="Times New Roman" w:hAnsi="Times New Roman"/>
          <w:bCs/>
          <w:color w:val="000000"/>
          <w:sz w:val="24"/>
          <w:szCs w:val="24"/>
        </w:rPr>
        <w:t xml:space="preserve"> 153 / 2017 </w:t>
      </w:r>
      <w:proofErr w:type="spellStart"/>
      <w:r w:rsidR="000C183E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="000C18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C183E">
        <w:rPr>
          <w:rFonts w:ascii="Times New Roman" w:hAnsi="Times New Roman"/>
          <w:bCs/>
          <w:color w:val="000000"/>
          <w:sz w:val="24"/>
          <w:szCs w:val="24"/>
        </w:rPr>
        <w:t>salarizarea</w:t>
      </w:r>
      <w:proofErr w:type="spellEnd"/>
      <w:r w:rsidR="000C18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personalului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plătit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fonduri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</w:p>
    <w:p w14:paraId="30815B74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D9E48E1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f)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Indemnizație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hrana</w:t>
      </w:r>
      <w:proofErr w:type="spellEnd"/>
    </w:p>
    <w:p w14:paraId="6C5ED479" w14:textId="77777777" w:rsidR="00B70824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Salariatii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cu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exceptia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persoanelor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ocupă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funcţii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demnitate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publică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</w:p>
    <w:p w14:paraId="0D0A262A" w14:textId="77777777"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exceptia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persoanelor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depasi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vceprimarului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beneficiaza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indemnizaţie</w:t>
      </w:r>
      <w:proofErr w:type="spellEnd"/>
      <w:r w:rsidR="000C18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hrană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reprezentând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a 12-a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parte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două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minime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brute pe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ţară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garantate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plată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la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nivelul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anului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2019, conform art. 18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cadru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nr. 153 / 2017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salarizarea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personalului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plătit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fonduri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</w:p>
    <w:p w14:paraId="5966C4A4" w14:textId="77777777" w:rsidR="00B70824" w:rsidRDefault="00B70824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92A7EF" w14:textId="77777777" w:rsidR="00B70824" w:rsidRDefault="00B70824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416C4A" w14:textId="77777777" w:rsidR="00B70824" w:rsidRDefault="00B70824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E44560" w14:textId="77777777" w:rsidR="00391742" w:rsidRDefault="00391742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Functionari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publici</w:t>
      </w:r>
      <w:proofErr w:type="spellEnd"/>
    </w:p>
    <w:tbl>
      <w:tblPr>
        <w:tblW w:w="8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1134"/>
        <w:gridCol w:w="992"/>
        <w:gridCol w:w="992"/>
        <w:gridCol w:w="992"/>
      </w:tblGrid>
      <w:tr w:rsidR="00B70824" w14:paraId="6D179AAC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3C55" w14:textId="77777777"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0824">
              <w:rPr>
                <w:rFonts w:ascii="Times New Roman" w:hAnsi="Times New Roman"/>
                <w:sz w:val="18"/>
                <w:szCs w:val="18"/>
              </w:rPr>
              <w:t xml:space="preserve">Nr. </w:t>
            </w:r>
          </w:p>
          <w:p w14:paraId="78855527" w14:textId="77777777"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  <w:r w:rsidRPr="00B708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B5ED" w14:textId="77777777" w:rsidR="00B70824" w:rsidRPr="00B70824" w:rsidRDefault="00B70824" w:rsidP="00CC2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Functia</w:t>
            </w:r>
            <w:proofErr w:type="spellEnd"/>
          </w:p>
          <w:p w14:paraId="37F00935" w14:textId="77777777"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45E" w14:textId="77777777" w:rsidR="00B70824" w:rsidRPr="00B70824" w:rsidRDefault="00B70824" w:rsidP="00CC2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Gradatia</w:t>
            </w:r>
            <w:proofErr w:type="spellEnd"/>
            <w:r w:rsidRPr="00B70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01304" w14:textId="77777777" w:rsidR="00B70824" w:rsidRPr="008851A7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Coeficient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ierarhizare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67B7D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Salariu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9C27A1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Incepand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cu data de </w:t>
            </w:r>
          </w:p>
          <w:p w14:paraId="70A90E52" w14:textId="77777777" w:rsidR="00B70824" w:rsidRPr="008851A7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760E5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conditii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vatamatoare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6CE377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12%</w:t>
            </w:r>
          </w:p>
          <w:p w14:paraId="6E5F47DC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14:paraId="5854B7E2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F47C5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Indemnizatie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113545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hrana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576B4" w14:textId="77777777"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Vouchere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vacanta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70824" w14:paraId="58F7DF8C" w14:textId="77777777" w:rsidTr="00B7082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BD0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22F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Secretar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general al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comunei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Goiesti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judetul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Dolj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5C96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3ECB1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C0211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6913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80FC1" w14:textId="77777777" w:rsidR="00B70824" w:rsidRPr="00CF27E8" w:rsidRDefault="00B70824" w:rsidP="00CC2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14731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4E1D1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B70824" w14:paraId="2ABCF1B0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E8C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2237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Manager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proiect</w:t>
            </w:r>
            <w:r>
              <w:rPr>
                <w:rFonts w:ascii="Times New Roman" w:hAnsi="Times New Roman"/>
                <w:sz w:val="18"/>
                <w:szCs w:val="18"/>
              </w:rPr>
              <w:t>-consilier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F5E7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8B854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43CF6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6913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3B063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2AC17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0DE4D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B70824" w14:paraId="4B87AD6B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ABE2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6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Contabil</w:t>
            </w:r>
            <w:r>
              <w:rPr>
                <w:rFonts w:ascii="Times New Roman" w:hAnsi="Times New Roman"/>
                <w:sz w:val="18"/>
                <w:szCs w:val="18"/>
              </w:rPr>
              <w:t>-consilier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83A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E1921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6D0F2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6645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A921A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E681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ED4D4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B70824" w14:paraId="3EC380A5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CAFF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6C6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AE7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CFF85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36790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8B56A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45C87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E89A5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B70824" w14:paraId="469EEF9B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FD99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79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4D6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9E23A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8BB8A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F8044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87018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115D3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614D5C59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F0B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DE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Inspector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09B7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38960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9DDD3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FB91A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CDEEE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12B0E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02F80977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BF3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923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Ispector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3C6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B0719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C2616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E14A7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B0B7B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44C17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6CE2123F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DE7F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D76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Inspector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6F7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91459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E54D9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A03B6" w14:textId="77777777" w:rsidR="00B70824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591F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0EBC8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361E8886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FCB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BBC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Inspector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527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EC1C90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09F06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17370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64363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4138B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6118BA5F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4C07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01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Referent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C39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1F7D0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CAC9E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7233C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F759D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FC015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2FAF04A1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910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11</w:t>
            </w:r>
          </w:p>
          <w:p w14:paraId="3F725987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B2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juridic 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gradul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B294" w14:textId="77777777" w:rsidR="00B70824" w:rsidRPr="008851A7" w:rsidRDefault="00B70824" w:rsidP="00B70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79176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43077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4127A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5DCF1" w14:textId="77777777" w:rsidR="00B70824" w:rsidRPr="00F92C28" w:rsidRDefault="00B70824" w:rsidP="00BE2675">
            <w:r w:rsidRPr="00F92C28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9BE87" w14:textId="77777777" w:rsidR="00B70824" w:rsidRDefault="00B70824" w:rsidP="00BE2675">
            <w:r w:rsidRPr="00F92C28">
              <w:t xml:space="preserve">Da </w:t>
            </w:r>
          </w:p>
        </w:tc>
      </w:tr>
      <w:tr w:rsidR="00B70824" w14:paraId="3C641A85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682E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12</w:t>
            </w:r>
          </w:p>
          <w:p w14:paraId="1616A8CC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45CA" w14:textId="77777777" w:rsidR="00B70824" w:rsidRPr="008851A7" w:rsidRDefault="00B70824" w:rsidP="00404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Inspector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529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E312B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1A2F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65591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D6302" w14:textId="77777777" w:rsidR="00B70824" w:rsidRPr="004B3CFD" w:rsidRDefault="00B70824" w:rsidP="00CB5CF2">
            <w:r w:rsidRPr="004B3CFD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C1A93" w14:textId="77777777" w:rsidR="00B70824" w:rsidRDefault="00B70824" w:rsidP="00CB5CF2">
            <w:r w:rsidRPr="004B3CFD">
              <w:t xml:space="preserve">Da </w:t>
            </w:r>
          </w:p>
        </w:tc>
      </w:tr>
      <w:tr w:rsidR="00B70824" w14:paraId="30C717B1" w14:textId="77777777" w:rsidTr="00B70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4518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8F53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Inspector</w:t>
            </w:r>
          </w:p>
          <w:p w14:paraId="289C2252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5BFD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1EB53B" w14:textId="77777777"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B5460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0CCB4" w14:textId="77777777"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9E975" w14:textId="77777777" w:rsidR="00B70824" w:rsidRPr="004B3CFD" w:rsidRDefault="00B70824" w:rsidP="00CB5CF2">
            <w:r w:rsidRPr="004B3CFD"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E2611" w14:textId="77777777" w:rsidR="00B70824" w:rsidRDefault="00B70824" w:rsidP="00CB5CF2">
            <w:r w:rsidRPr="004B3CFD">
              <w:t xml:space="preserve">Da </w:t>
            </w:r>
          </w:p>
        </w:tc>
      </w:tr>
    </w:tbl>
    <w:p w14:paraId="60E4C002" w14:textId="77777777" w:rsidR="00391742" w:rsidRDefault="00391742" w:rsidP="003917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FE2401" w14:textId="77777777" w:rsidR="00884E6B" w:rsidRDefault="00884E6B" w:rsidP="003917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A6FD58" w14:textId="50F51A48" w:rsidR="00391742" w:rsidRDefault="00391742" w:rsidP="003917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Personal contractual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134"/>
        <w:gridCol w:w="1843"/>
        <w:gridCol w:w="1559"/>
        <w:gridCol w:w="1417"/>
        <w:gridCol w:w="1134"/>
        <w:gridCol w:w="1276"/>
      </w:tblGrid>
      <w:tr w:rsidR="00754E5C" w14:paraId="1FC14CB3" w14:textId="77777777" w:rsidTr="000C1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F309" w14:textId="77777777"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0824">
              <w:rPr>
                <w:rFonts w:ascii="Times New Roman" w:hAnsi="Times New Roman"/>
                <w:sz w:val="18"/>
                <w:szCs w:val="18"/>
              </w:rPr>
              <w:t xml:space="preserve">Nr. </w:t>
            </w:r>
          </w:p>
          <w:p w14:paraId="31E5607C" w14:textId="77777777"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  <w:r w:rsidRPr="00B708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4213" w14:textId="77777777" w:rsidR="00B70824" w:rsidRPr="00B70824" w:rsidRDefault="00B70824" w:rsidP="00B70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Functia</w:t>
            </w:r>
            <w:proofErr w:type="spellEnd"/>
          </w:p>
          <w:p w14:paraId="42FAA240" w14:textId="77777777"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58CE" w14:textId="77777777" w:rsidR="00754E5C" w:rsidRPr="00B70824" w:rsidRDefault="00B70824" w:rsidP="00B70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gradatia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E8B5C" w14:textId="77777777" w:rsidR="00754E5C" w:rsidRPr="003059D6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9D6">
              <w:rPr>
                <w:rFonts w:ascii="Times New Roman" w:hAnsi="Times New Roman"/>
                <w:sz w:val="20"/>
                <w:szCs w:val="20"/>
              </w:rPr>
              <w:t>Coeficient</w:t>
            </w:r>
            <w:proofErr w:type="spellEnd"/>
            <w:r w:rsidRPr="00305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59D6">
              <w:rPr>
                <w:rFonts w:ascii="Times New Roman" w:hAnsi="Times New Roman"/>
                <w:sz w:val="20"/>
                <w:szCs w:val="20"/>
              </w:rPr>
              <w:t>ierarhizare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52EEC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Salariu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incepand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cu 01.01.2020</w:t>
            </w:r>
          </w:p>
          <w:p w14:paraId="51460028" w14:textId="77777777" w:rsidR="000C183E" w:rsidRPr="003059D6" w:rsidRDefault="000C183E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0D215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conditii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vatamatoare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08110C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12%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salariul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2D3A5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E5C6C" w14:textId="77777777"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proofErr w:type="spellStart"/>
            <w:r w:rsidRPr="000C183E">
              <w:rPr>
                <w:rFonts w:ascii="Times New Roman" w:hAnsi="Times New Roman" w:cs="Times New Roman"/>
              </w:rPr>
              <w:t>Indemnizatie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C183E">
              <w:rPr>
                <w:rFonts w:ascii="Times New Roman" w:hAnsi="Times New Roman" w:cs="Times New Roman"/>
              </w:rPr>
              <w:t>hrana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C8242" w14:textId="77777777"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proofErr w:type="spellStart"/>
            <w:r w:rsidRPr="000C183E">
              <w:rPr>
                <w:rFonts w:ascii="Times New Roman" w:hAnsi="Times New Roman" w:cs="Times New Roman"/>
              </w:rPr>
              <w:t>Vouchere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C183E">
              <w:rPr>
                <w:rFonts w:ascii="Times New Roman" w:hAnsi="Times New Roman" w:cs="Times New Roman"/>
              </w:rPr>
              <w:t>vacanta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E14D1" w14:textId="77777777"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r w:rsidRPr="000C183E">
              <w:rPr>
                <w:rFonts w:ascii="Times New Roman" w:hAnsi="Times New Roman" w:cs="Times New Roman"/>
              </w:rPr>
              <w:t xml:space="preserve">Alte </w:t>
            </w:r>
            <w:proofErr w:type="spellStart"/>
            <w:r w:rsidRPr="000C183E">
              <w:rPr>
                <w:rFonts w:ascii="Times New Roman" w:hAnsi="Times New Roman" w:cs="Times New Roman"/>
              </w:rPr>
              <w:t>sporuri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E5C" w14:paraId="648FD425" w14:textId="77777777" w:rsidTr="000C1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067" w14:textId="77777777" w:rsidR="00754E5C" w:rsidRDefault="00754E5C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83F0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Sef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serviciu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SVSU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63D4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6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1FAD75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51">
              <w:rPr>
                <w:rFonts w:ascii="Times New Roman" w:hAnsi="Times New Roman"/>
                <w:b/>
              </w:rPr>
              <w:t>1,44</w:t>
            </w:r>
          </w:p>
          <w:p w14:paraId="264E3B7F" w14:textId="77777777" w:rsidR="00754E5C" w:rsidRPr="00244651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D3062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5F0C1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1C4B9" w14:textId="77777777" w:rsidR="00754E5C" w:rsidRPr="004D269E" w:rsidRDefault="00754E5C" w:rsidP="0024266A">
            <w: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D848" w14:textId="77777777" w:rsidR="00754E5C" w:rsidRPr="004D269E" w:rsidRDefault="00754E5C" w:rsidP="0024266A">
            <w:r w:rsidRPr="004D269E">
              <w:t xml:space="preserve">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A0B4A" w14:textId="77777777" w:rsidR="00754E5C" w:rsidRPr="004D269E" w:rsidRDefault="00754E5C" w:rsidP="0024266A">
            <w:r>
              <w:t>-</w:t>
            </w:r>
          </w:p>
        </w:tc>
      </w:tr>
      <w:tr w:rsidR="00754E5C" w14:paraId="4FE9A456" w14:textId="77777777" w:rsidTr="000C1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8D78" w14:textId="77777777" w:rsidR="00754E5C" w:rsidRDefault="00754E5C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225E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Muncitor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27AC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6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B7BBD0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51">
              <w:rPr>
                <w:rFonts w:ascii="Times New Roman" w:hAnsi="Times New Roman"/>
                <w:b/>
              </w:rPr>
              <w:t>1,45</w:t>
            </w:r>
          </w:p>
          <w:p w14:paraId="6EAD070E" w14:textId="77777777" w:rsidR="00754E5C" w:rsidRPr="00244651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4A4E2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67B99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05C0D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80C6D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1AA27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4E5C" w14:paraId="3CBE501E" w14:textId="77777777" w:rsidTr="000C183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4EFC" w14:textId="77777777" w:rsidR="00754E5C" w:rsidRDefault="00754E5C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E7EC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Muncitor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226C" w14:textId="77777777" w:rsidR="00754E5C" w:rsidRPr="00244651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6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77356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51">
              <w:rPr>
                <w:rFonts w:ascii="Times New Roman" w:hAnsi="Times New Roman"/>
                <w:b/>
              </w:rPr>
              <w:t>1,45</w:t>
            </w:r>
          </w:p>
          <w:p w14:paraId="0EB06584" w14:textId="77777777" w:rsidR="00754E5C" w:rsidRPr="00244651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32011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FEF8" w14:textId="77777777"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F6549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D584B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1069E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noapte</w:t>
            </w:r>
            <w:proofErr w:type="spellEnd"/>
            <w:r>
              <w:rPr>
                <w:rFonts w:ascii="Times New Roman" w:hAnsi="Times New Roman"/>
              </w:rPr>
              <w:t xml:space="preserve">  25% </w:t>
            </w:r>
          </w:p>
          <w:p w14:paraId="3837BF47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luni</w:t>
            </w:r>
            <w:proofErr w:type="spellEnd"/>
            <w:r>
              <w:rPr>
                <w:rFonts w:ascii="Times New Roman" w:hAnsi="Times New Roman"/>
              </w:rPr>
              <w:t xml:space="preserve">/an </w:t>
            </w:r>
          </w:p>
          <w:p w14:paraId="4DB1E580" w14:textId="77777777" w:rsidR="00754E5C" w:rsidRDefault="00754E5C" w:rsidP="0075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1468F6" w14:textId="77777777" w:rsidR="004046FE" w:rsidRPr="00E711ED" w:rsidRDefault="004046FE" w:rsidP="003917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0B8BF1" w14:textId="77777777" w:rsidR="004046FE" w:rsidRPr="00E711ED" w:rsidRDefault="004046FE" w:rsidP="00391742">
      <w:pPr>
        <w:spacing w:after="0"/>
        <w:rPr>
          <w:rFonts w:ascii="Times New Roman" w:hAnsi="Times New Roman"/>
          <w:b/>
          <w:sz w:val="24"/>
          <w:szCs w:val="24"/>
        </w:rPr>
      </w:pPr>
      <w:r w:rsidRPr="00E711ED">
        <w:rPr>
          <w:rFonts w:ascii="Times New Roman" w:hAnsi="Times New Roman"/>
          <w:b/>
          <w:sz w:val="24"/>
          <w:szCs w:val="24"/>
        </w:rPr>
        <w:t xml:space="preserve">Personal contractual – </w:t>
      </w:r>
      <w:proofErr w:type="spellStart"/>
      <w:r w:rsidRPr="00E711ED">
        <w:rPr>
          <w:rFonts w:ascii="Times New Roman" w:hAnsi="Times New Roman"/>
          <w:b/>
          <w:sz w:val="24"/>
          <w:szCs w:val="24"/>
        </w:rPr>
        <w:t>asistenti</w:t>
      </w:r>
      <w:proofErr w:type="spellEnd"/>
      <w:r w:rsidRPr="00E71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11ED">
        <w:rPr>
          <w:rFonts w:ascii="Times New Roman" w:hAnsi="Times New Roman"/>
          <w:b/>
          <w:sz w:val="24"/>
          <w:szCs w:val="24"/>
        </w:rPr>
        <w:t>personali</w:t>
      </w:r>
      <w:proofErr w:type="spellEnd"/>
      <w:r w:rsidRPr="00E711E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977"/>
        <w:gridCol w:w="1275"/>
        <w:gridCol w:w="1843"/>
        <w:gridCol w:w="2693"/>
      </w:tblGrid>
      <w:tr w:rsidR="00E711ED" w:rsidRPr="004046FE" w14:paraId="6CE8E85F" w14:textId="77777777" w:rsidTr="00E711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9003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F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  <w:p w14:paraId="1E15BFC6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CBFF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D0E6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Functia</w:t>
            </w:r>
            <w:proofErr w:type="spellEnd"/>
          </w:p>
          <w:p w14:paraId="4CFAEA89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0461A9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vechime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36CB5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Salariu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incepand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 cu 01.01.2020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E2D33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Beneficiaza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data de 01.01.2020, conf.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153/2017,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modific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completarile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</w:p>
        </w:tc>
      </w:tr>
      <w:tr w:rsidR="00E711ED" w:rsidRPr="004046FE" w14:paraId="37D2324F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8577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0F0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E56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personal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717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202FF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2232lei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9AB01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 </w:t>
            </w:r>
          </w:p>
        </w:tc>
      </w:tr>
      <w:tr w:rsidR="00E711ED" w:rsidRPr="004046FE" w14:paraId="71E0D8A6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DEBD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A8F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F1A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CDBBA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63BE5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2334lei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4AB6B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14:paraId="7501900D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EDB" w14:textId="4669354A"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9C2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54EC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E931D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E8DE8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2450lei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6FD56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14:paraId="171BFA93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2B52" w14:textId="00A952B6"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883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665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8025B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F4C06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2573lei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482D6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14:paraId="4FCB243F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109" w14:textId="1A544454"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29E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B1F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B0AB0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5E763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2638lei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ABEEB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14:paraId="527F079C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6DDD" w14:textId="5416F99D"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7D1E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CD3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7AE32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26B17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2703lei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30A4E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14:paraId="64FEB90B" w14:textId="77777777" w:rsidTr="00E711E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B21" w14:textId="23ED9CBC"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607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9E5" w14:textId="77777777"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DF761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81F20" w14:textId="77777777"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2703lei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EF521" w14:textId="77777777" w:rsidR="00E711ED" w:rsidRPr="004046FE" w:rsidRDefault="0044798F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</w:tbl>
    <w:p w14:paraId="1B0DD4D5" w14:textId="77777777" w:rsidR="002F4215" w:rsidRDefault="00391742" w:rsidP="00844C5E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2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CAAB030" w14:textId="77777777" w:rsidR="002F4215" w:rsidRDefault="002F4215" w:rsidP="003059D6">
      <w:pPr>
        <w:shd w:val="clear" w:color="auto" w:fill="FFFFFF"/>
        <w:tabs>
          <w:tab w:val="left" w:pos="523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B362636" w14:textId="77777777" w:rsidR="002F4215" w:rsidRDefault="002F4215" w:rsidP="003059D6">
      <w:pPr>
        <w:shd w:val="clear" w:color="auto" w:fill="FFFFFF"/>
        <w:tabs>
          <w:tab w:val="left" w:pos="523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764BA5D" w14:textId="77777777" w:rsidR="003A6DA2" w:rsidRPr="003A6DA2" w:rsidRDefault="003A6DA2" w:rsidP="003A6DA2">
      <w:pPr>
        <w:shd w:val="clear" w:color="auto" w:fill="FFFFFF"/>
        <w:jc w:val="both"/>
        <w:rPr>
          <w:rFonts w:asciiTheme="majorHAnsi" w:hAnsiTheme="majorHAnsi"/>
          <w:color w:val="000000"/>
        </w:rPr>
      </w:pPr>
      <w:bookmarkStart w:id="0" w:name="do|caII|ar34|al2"/>
      <w:bookmarkEnd w:id="0"/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lastRenderedPageBreak/>
        <w:t>-(2)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Începând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ianuarie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2020,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cuantumul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sporurilor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indemnizaţiilor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compensaţiilor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primelor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al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celorlalte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elemente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ale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sistemului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salarizare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care fac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parte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potrivit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legii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salariul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brut lunar,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solda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lunară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care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beneficiază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personalul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plătit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fonduri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publice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se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menţine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cel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mult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nivelul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cuantumului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acordat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pentru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decembrie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2019,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măsura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care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personalul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ocupă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aceeaşi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funcţie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desfăşoară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activitatea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aceleaşi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condiţii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.</w:t>
      </w:r>
    </w:p>
    <w:p w14:paraId="5E4E45F8" w14:textId="77777777" w:rsidR="003A6DA2" w:rsidRDefault="003A6DA2" w:rsidP="003A6DA2">
      <w:pPr>
        <w:shd w:val="clear" w:color="auto" w:fill="FFFFFF"/>
        <w:jc w:val="both"/>
        <w:rPr>
          <w:rStyle w:val="tal"/>
          <w:rFonts w:asciiTheme="majorHAnsi" w:hAnsiTheme="majorHAnsi"/>
          <w:color w:val="000000"/>
          <w:shd w:val="clear" w:color="auto" w:fill="D3D3D3"/>
        </w:rPr>
      </w:pPr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t>-(7)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derogare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prevederile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art. 38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alin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. (3) lit. f)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Legea-cadru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 </w:t>
      </w:r>
      <w:hyperlink r:id="rId5" w:history="1">
        <w:r w:rsidRPr="003A6DA2">
          <w:rPr>
            <w:rStyle w:val="Hyperlink"/>
            <w:rFonts w:asciiTheme="majorHAnsi" w:hAnsiTheme="majorHAnsi"/>
            <w:b/>
            <w:bCs/>
            <w:color w:val="333399"/>
            <w:shd w:val="clear" w:color="auto" w:fill="D3D3D3"/>
          </w:rPr>
          <w:t>153/2017</w:t>
        </w:r>
      </w:hyperlink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 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privind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salarizarea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personalului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plătit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fonduri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publice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modificările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completările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ulterioare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anul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2020,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începând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drepturile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aferente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lunii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ianuarie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2020,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indemnizaţiile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pentru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funcţiile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demnitate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publică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funcţiile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asimilate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acestora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prevăzute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anexa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 IX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Legea-cadru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 </w:t>
      </w:r>
      <w:hyperlink r:id="rId6" w:history="1">
        <w:r w:rsidRPr="003A6DA2">
          <w:rPr>
            <w:rStyle w:val="Hyperlink"/>
            <w:rFonts w:asciiTheme="majorHAnsi" w:hAnsiTheme="majorHAnsi"/>
            <w:b/>
            <w:bCs/>
            <w:color w:val="333399"/>
            <w:shd w:val="clear" w:color="auto" w:fill="D3D3D3"/>
          </w:rPr>
          <w:t>153/2017</w:t>
        </w:r>
      </w:hyperlink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modificările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completările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ulterioare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se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menţin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nivelul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aferent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lunii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decembrie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2019.</w:t>
      </w:r>
    </w:p>
    <w:p w14:paraId="7BDF202B" w14:textId="77777777" w:rsidR="003059D6" w:rsidRDefault="003059D6" w:rsidP="00062858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E21319" w14:textId="77777777" w:rsidR="003059D6" w:rsidRDefault="003059D6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037B20" w14:textId="77777777" w:rsidR="00D4334A" w:rsidRDefault="00D4334A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975AAE" w14:textId="77777777" w:rsidR="00D4334A" w:rsidRDefault="00D4334A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7EC02B" w14:textId="77777777" w:rsidR="00D4334A" w:rsidRDefault="00BD5487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7F4BA9F" w14:textId="77777777" w:rsidR="000F0B99" w:rsidRDefault="000F0B99" w:rsidP="00B6568C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A8625F" w14:textId="77777777" w:rsidR="000F0B99" w:rsidRDefault="000F0B99" w:rsidP="00B6568C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D28CB0" w14:textId="77777777" w:rsidR="000F0B99" w:rsidRDefault="000F0B99" w:rsidP="00B6568C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6EBE5DCB" w14:textId="77777777" w:rsidR="00244651" w:rsidRDefault="00244651" w:rsidP="00B6568C">
      <w:pPr>
        <w:shd w:val="clear" w:color="auto" w:fill="FFFFFF"/>
        <w:tabs>
          <w:tab w:val="left" w:pos="324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211FAC" w14:textId="77777777" w:rsidR="003059D6" w:rsidRDefault="003059D6" w:rsidP="00062858">
      <w:pPr>
        <w:spacing w:after="0"/>
        <w:rPr>
          <w:rFonts w:ascii="Times New Roman" w:hAnsi="Times New Roman"/>
          <w:sz w:val="44"/>
          <w:szCs w:val="44"/>
        </w:rPr>
      </w:pPr>
    </w:p>
    <w:p w14:paraId="49C8C4C1" w14:textId="77777777" w:rsidR="003059D6" w:rsidRDefault="003059D6" w:rsidP="003059D6">
      <w:pPr>
        <w:rPr>
          <w:rFonts w:ascii="Times New Roman" w:hAnsi="Times New Roman"/>
          <w:sz w:val="44"/>
          <w:szCs w:val="44"/>
        </w:rPr>
      </w:pPr>
    </w:p>
    <w:p w14:paraId="3630ED97" w14:textId="77777777" w:rsidR="00110ADD" w:rsidRDefault="00110ADD"/>
    <w:sectPr w:rsidR="00110ADD" w:rsidSect="000C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3CD3"/>
    <w:multiLevelType w:val="hybridMultilevel"/>
    <w:tmpl w:val="00785636"/>
    <w:lvl w:ilvl="0" w:tplc="47AAAE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B1C"/>
    <w:multiLevelType w:val="hybridMultilevel"/>
    <w:tmpl w:val="8904E93C"/>
    <w:lvl w:ilvl="0" w:tplc="6EDC6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6"/>
    <w:rsid w:val="00062858"/>
    <w:rsid w:val="00082687"/>
    <w:rsid w:val="000C183E"/>
    <w:rsid w:val="000F0B99"/>
    <w:rsid w:val="00110ADD"/>
    <w:rsid w:val="001C25F1"/>
    <w:rsid w:val="00244651"/>
    <w:rsid w:val="00252D02"/>
    <w:rsid w:val="002F4215"/>
    <w:rsid w:val="003059D6"/>
    <w:rsid w:val="00391742"/>
    <w:rsid w:val="003A6DA2"/>
    <w:rsid w:val="004046FE"/>
    <w:rsid w:val="0044798F"/>
    <w:rsid w:val="00673AC1"/>
    <w:rsid w:val="006E3C0A"/>
    <w:rsid w:val="0073447D"/>
    <w:rsid w:val="00754E5C"/>
    <w:rsid w:val="00776835"/>
    <w:rsid w:val="00834A91"/>
    <w:rsid w:val="00844C5E"/>
    <w:rsid w:val="00884E6B"/>
    <w:rsid w:val="008851A7"/>
    <w:rsid w:val="0089510C"/>
    <w:rsid w:val="008D25DA"/>
    <w:rsid w:val="009D1475"/>
    <w:rsid w:val="00A22978"/>
    <w:rsid w:val="00A9289E"/>
    <w:rsid w:val="00B03C82"/>
    <w:rsid w:val="00B64A9D"/>
    <w:rsid w:val="00B6568C"/>
    <w:rsid w:val="00B70824"/>
    <w:rsid w:val="00BD5487"/>
    <w:rsid w:val="00C240C4"/>
    <w:rsid w:val="00C66DD5"/>
    <w:rsid w:val="00CC2F5A"/>
    <w:rsid w:val="00CF27E8"/>
    <w:rsid w:val="00D4334A"/>
    <w:rsid w:val="00DD21EE"/>
    <w:rsid w:val="00E711ED"/>
    <w:rsid w:val="00ED322A"/>
    <w:rsid w:val="00EF3C18"/>
    <w:rsid w:val="00F41E90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17E"/>
  <w15:docId w15:val="{AAD80B5C-2138-4AB1-929E-384CA8E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9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D6"/>
    <w:rPr>
      <w:b/>
      <w:bCs/>
    </w:rPr>
  </w:style>
  <w:style w:type="character" w:customStyle="1" w:styleId="tpa">
    <w:name w:val="tpa"/>
    <w:basedOn w:val="DefaultParagraphFont"/>
    <w:rsid w:val="003059D6"/>
  </w:style>
  <w:style w:type="character" w:customStyle="1" w:styleId="pt">
    <w:name w:val="pt"/>
    <w:basedOn w:val="DefaultParagraphFont"/>
    <w:rsid w:val="003059D6"/>
  </w:style>
  <w:style w:type="character" w:customStyle="1" w:styleId="tpt">
    <w:name w:val="tpt"/>
    <w:basedOn w:val="DefaultParagraphFont"/>
    <w:rsid w:val="003059D6"/>
  </w:style>
  <w:style w:type="character" w:customStyle="1" w:styleId="ar">
    <w:name w:val="ar"/>
    <w:basedOn w:val="DefaultParagraphFont"/>
    <w:rsid w:val="00C240C4"/>
  </w:style>
  <w:style w:type="character" w:customStyle="1" w:styleId="al">
    <w:name w:val="al"/>
    <w:basedOn w:val="DefaultParagraphFont"/>
    <w:rsid w:val="00C240C4"/>
  </w:style>
  <w:style w:type="character" w:customStyle="1" w:styleId="tal">
    <w:name w:val="tal"/>
    <w:basedOn w:val="DefaultParagraphFont"/>
    <w:rsid w:val="00C240C4"/>
  </w:style>
  <w:style w:type="paragraph" w:styleId="BalloonText">
    <w:name w:val="Balloon Text"/>
    <w:basedOn w:val="Normal"/>
    <w:link w:val="BalloonTextChar"/>
    <w:uiPriority w:val="99"/>
    <w:semiHidden/>
    <w:unhideWhenUsed/>
    <w:rsid w:val="00C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49603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30863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51134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757050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992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10953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8010742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6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2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55485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2346599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333876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225532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050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5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38716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43797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8625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86657.htm" TargetMode="External"/><Relationship Id="rId5" Type="http://schemas.openxmlformats.org/officeDocument/2006/relationships/hyperlink" Target="https://idrept.ro/001866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5</cp:revision>
  <cp:lastPrinted>2020-01-31T09:16:00Z</cp:lastPrinted>
  <dcterms:created xsi:type="dcterms:W3CDTF">2020-10-27T13:46:00Z</dcterms:created>
  <dcterms:modified xsi:type="dcterms:W3CDTF">2021-01-27T08:16:00Z</dcterms:modified>
</cp:coreProperties>
</file>