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24" w:rsidRPr="00B70824" w:rsidRDefault="00AA51A1" w:rsidP="00EF3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B70824" w:rsidRPr="00B70824">
        <w:rPr>
          <w:rFonts w:ascii="Times New Roman" w:hAnsi="Times New Roman" w:cs="Times New Roman"/>
          <w:b/>
          <w:sz w:val="24"/>
          <w:szCs w:val="24"/>
        </w:rPr>
        <w:t>rimaria</w:t>
      </w:r>
      <w:proofErr w:type="spellEnd"/>
      <w:r w:rsidR="00B70824"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824" w:rsidRPr="00B70824">
        <w:rPr>
          <w:rFonts w:ascii="Times New Roman" w:hAnsi="Times New Roman" w:cs="Times New Roman"/>
          <w:b/>
          <w:sz w:val="24"/>
          <w:szCs w:val="24"/>
        </w:rPr>
        <w:t>comuneGoiesti</w:t>
      </w:r>
      <w:proofErr w:type="spellEnd"/>
    </w:p>
    <w:p w:rsidR="00B70824" w:rsidRPr="00B70824" w:rsidRDefault="00B70824" w:rsidP="00EF3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JudetulDolj</w:t>
      </w:r>
      <w:proofErr w:type="spellEnd"/>
    </w:p>
    <w:p w:rsidR="00B03C82" w:rsidRPr="00B70824" w:rsidRDefault="00B03C82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0C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LISTA FUNCTILOR DIN CADRUL PRIMARIEI COMUNEI GOIESTI, JUDETUL DOLJ CE INTRA IN CATEGORIA </w:t>
      </w:r>
      <w:proofErr w:type="gramStart"/>
      <w:r w:rsidRPr="00B70824">
        <w:rPr>
          <w:rFonts w:ascii="Times New Roman" w:hAnsi="Times New Roman" w:cs="Times New Roman"/>
          <w:b/>
          <w:sz w:val="24"/>
          <w:szCs w:val="24"/>
        </w:rPr>
        <w:t>PERSONALULUI</w:t>
      </w:r>
      <w:r w:rsidR="000D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824">
        <w:rPr>
          <w:rFonts w:ascii="Times New Roman" w:hAnsi="Times New Roman" w:cs="Times New Roman"/>
          <w:b/>
          <w:sz w:val="24"/>
          <w:szCs w:val="24"/>
        </w:rPr>
        <w:t xml:space="preserve"> PLATIT</w:t>
      </w:r>
      <w:proofErr w:type="gram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DIN FONDURI PUBLICE </w:t>
      </w:r>
    </w:p>
    <w:p w:rsidR="00EE60DC" w:rsidRPr="00B70824" w:rsidRDefault="00EE60D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5C" w:rsidRPr="00B70824" w:rsidRDefault="00754E5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vedereaasigurariitransparenteiventur</w:t>
      </w:r>
      <w:r w:rsidR="00B03C82" w:rsidRPr="00B70824">
        <w:rPr>
          <w:rFonts w:ascii="Times New Roman" w:hAnsi="Times New Roman" w:cs="Times New Roman"/>
          <w:b/>
          <w:sz w:val="24"/>
          <w:szCs w:val="24"/>
        </w:rPr>
        <w:t>i</w:t>
      </w:r>
      <w:r w:rsidRPr="00B70824">
        <w:rPr>
          <w:rFonts w:ascii="Times New Roman" w:hAnsi="Times New Roman" w:cs="Times New Roman"/>
          <w:b/>
          <w:sz w:val="24"/>
          <w:szCs w:val="24"/>
        </w:rPr>
        <w:t>lorsalariale</w:t>
      </w:r>
      <w:proofErr w:type="spellEnd"/>
    </w:p>
    <w:p w:rsidR="0089510C" w:rsidRPr="00B70824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4">
        <w:rPr>
          <w:rFonts w:ascii="Times New Roman" w:hAnsi="Times New Roman" w:cs="Times New Roman"/>
          <w:b/>
          <w:sz w:val="24"/>
          <w:szCs w:val="24"/>
        </w:rPr>
        <w:t xml:space="preserve">Conform art 33-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nr. 153/2017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Pr="00B7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824">
        <w:rPr>
          <w:rFonts w:ascii="Times New Roman" w:hAnsi="Times New Roman" w:cs="Times New Roman"/>
          <w:b/>
          <w:sz w:val="24"/>
          <w:szCs w:val="24"/>
        </w:rPr>
        <w:t>completarilesimodficarileulterioare</w:t>
      </w:r>
      <w:proofErr w:type="spellEnd"/>
    </w:p>
    <w:p w:rsidR="0089510C" w:rsidRDefault="0089510C" w:rsidP="0089510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10C" w:rsidRDefault="00B70824" w:rsidP="00B708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3C18" w:rsidRPr="00EE60DC" w:rsidRDefault="00B70824" w:rsidP="00B70824">
      <w:pPr>
        <w:spacing w:after="0"/>
        <w:jc w:val="both"/>
        <w:rPr>
          <w:rFonts w:ascii="Times New Roman" w:hAnsi="Times New Roman" w:cs="Times New Roman"/>
        </w:rPr>
      </w:pPr>
      <w:r w:rsidRPr="00EE60DC">
        <w:rPr>
          <w:rFonts w:ascii="Times New Roman" w:hAnsi="Times New Roman" w:cs="Times New Roman"/>
        </w:rPr>
        <w:t xml:space="preserve">  - </w:t>
      </w:r>
      <w:r w:rsidR="00EF3C18" w:rsidRPr="00EE60DC">
        <w:rPr>
          <w:rFonts w:ascii="Times New Roman" w:hAnsi="Times New Roman" w:cs="Times New Roman"/>
        </w:rPr>
        <w:t xml:space="preserve">HCL nr. 60/28.01.2020, </w:t>
      </w:r>
      <w:proofErr w:type="spellStart"/>
      <w:r w:rsidR="00EF3C18" w:rsidRPr="00EE60DC">
        <w:rPr>
          <w:rFonts w:ascii="Times New Roman" w:hAnsi="Times New Roman" w:cs="Times New Roman"/>
        </w:rPr>
        <w:t>privindstabilireasalariului</w:t>
      </w:r>
      <w:proofErr w:type="spellEnd"/>
      <w:r w:rsidR="00EF3C18" w:rsidRPr="00EE60DC">
        <w:rPr>
          <w:rFonts w:ascii="Times New Roman" w:hAnsi="Times New Roman" w:cs="Times New Roman"/>
        </w:rPr>
        <w:t xml:space="preserve"> de </w:t>
      </w:r>
      <w:proofErr w:type="spellStart"/>
      <w:r w:rsidR="00EF3C18" w:rsidRPr="00EE60DC">
        <w:rPr>
          <w:rFonts w:ascii="Times New Roman" w:hAnsi="Times New Roman" w:cs="Times New Roman"/>
        </w:rPr>
        <w:t>bazapentrufunctionariipublicisipersonalul</w:t>
      </w:r>
      <w:proofErr w:type="spellEnd"/>
      <w:r w:rsidR="00EF3C18" w:rsidRPr="00EE60DC">
        <w:rPr>
          <w:rFonts w:ascii="Times New Roman" w:hAnsi="Times New Roman" w:cs="Times New Roman"/>
        </w:rPr>
        <w:t xml:space="preserve"> contractual din </w:t>
      </w:r>
      <w:proofErr w:type="spellStart"/>
      <w:r w:rsidR="00EF3C18" w:rsidRPr="00EE60DC">
        <w:rPr>
          <w:rFonts w:ascii="Times New Roman" w:hAnsi="Times New Roman" w:cs="Times New Roman"/>
        </w:rPr>
        <w:t>cadrulfamilieiocupationale</w:t>
      </w:r>
      <w:proofErr w:type="spellEnd"/>
      <w:r w:rsidR="00EF3C18" w:rsidRPr="00EE60DC">
        <w:rPr>
          <w:rFonts w:ascii="Times New Roman" w:hAnsi="Times New Roman" w:cs="Times New Roman"/>
        </w:rPr>
        <w:t xml:space="preserve"> ,, </w:t>
      </w:r>
      <w:proofErr w:type="spellStart"/>
      <w:r w:rsidR="00EF3C18" w:rsidRPr="00EE60DC">
        <w:rPr>
          <w:rFonts w:ascii="Times New Roman" w:hAnsi="Times New Roman" w:cs="Times New Roman"/>
        </w:rPr>
        <w:t>Administratie</w:t>
      </w:r>
      <w:proofErr w:type="spellEnd"/>
      <w:r w:rsidR="00EF3C18" w:rsidRPr="00EE60DC">
        <w:rPr>
          <w:rFonts w:ascii="Times New Roman" w:hAnsi="Times New Roman" w:cs="Times New Roman"/>
        </w:rPr>
        <w:t xml:space="preserve">,, din </w:t>
      </w:r>
      <w:proofErr w:type="spellStart"/>
      <w:r w:rsidR="00EF3C18" w:rsidRPr="00EE60DC">
        <w:rPr>
          <w:rFonts w:ascii="Times New Roman" w:hAnsi="Times New Roman" w:cs="Times New Roman"/>
        </w:rPr>
        <w:t>aparatulpropriu</w:t>
      </w:r>
      <w:proofErr w:type="spellEnd"/>
      <w:r w:rsidR="00EF3C18" w:rsidRPr="00EE60DC">
        <w:rPr>
          <w:rFonts w:ascii="Times New Roman" w:hAnsi="Times New Roman" w:cs="Times New Roman"/>
        </w:rPr>
        <w:t xml:space="preserve"> al </w:t>
      </w:r>
      <w:proofErr w:type="spellStart"/>
      <w:r w:rsidR="00EF3C18" w:rsidRPr="00EE60DC">
        <w:rPr>
          <w:rFonts w:ascii="Times New Roman" w:hAnsi="Times New Roman" w:cs="Times New Roman"/>
        </w:rPr>
        <w:t>PrimaruluicomuneiGoiesti</w:t>
      </w:r>
      <w:proofErr w:type="spellEnd"/>
      <w:r w:rsidR="00EF3C18" w:rsidRPr="00EE60DC">
        <w:rPr>
          <w:rFonts w:ascii="Times New Roman" w:hAnsi="Times New Roman" w:cs="Times New Roman"/>
        </w:rPr>
        <w:t xml:space="preserve">, </w:t>
      </w:r>
      <w:proofErr w:type="spellStart"/>
      <w:r w:rsidR="00EF3C18" w:rsidRPr="00EE60DC">
        <w:rPr>
          <w:rFonts w:ascii="Times New Roman" w:hAnsi="Times New Roman" w:cs="Times New Roman"/>
        </w:rPr>
        <w:t>judetulDoljsiserviciilefarapersonalitatejuridica</w:t>
      </w:r>
      <w:proofErr w:type="spellEnd"/>
      <w:r w:rsidR="00EF3C18" w:rsidRPr="00EE60DC">
        <w:rPr>
          <w:rFonts w:ascii="Times New Roman" w:hAnsi="Times New Roman" w:cs="Times New Roman"/>
        </w:rPr>
        <w:t xml:space="preserve"> din </w:t>
      </w:r>
      <w:proofErr w:type="spellStart"/>
      <w:r w:rsidR="00EF3C18" w:rsidRPr="00EE60DC">
        <w:rPr>
          <w:rFonts w:ascii="Times New Roman" w:hAnsi="Times New Roman" w:cs="Times New Roman"/>
        </w:rPr>
        <w:t>subordineaConsiliului</w:t>
      </w:r>
      <w:proofErr w:type="spellEnd"/>
      <w:r w:rsidR="00EF3C18" w:rsidRPr="00EE60DC">
        <w:rPr>
          <w:rFonts w:ascii="Times New Roman" w:hAnsi="Times New Roman" w:cs="Times New Roman"/>
        </w:rPr>
        <w:t xml:space="preserve"> Local al </w:t>
      </w:r>
      <w:proofErr w:type="spellStart"/>
      <w:r w:rsidR="00EF3C18" w:rsidRPr="00EE60DC">
        <w:rPr>
          <w:rFonts w:ascii="Times New Roman" w:hAnsi="Times New Roman" w:cs="Times New Roman"/>
        </w:rPr>
        <w:t>ComuneiGoiesti</w:t>
      </w:r>
      <w:proofErr w:type="spellEnd"/>
      <w:r w:rsidR="00EF3C18" w:rsidRPr="00EE60DC">
        <w:rPr>
          <w:rFonts w:ascii="Times New Roman" w:hAnsi="Times New Roman" w:cs="Times New Roman"/>
        </w:rPr>
        <w:t xml:space="preserve">, </w:t>
      </w:r>
      <w:proofErr w:type="spellStart"/>
      <w:r w:rsidR="00EF3C18" w:rsidRPr="00EE60DC">
        <w:rPr>
          <w:rFonts w:ascii="Times New Roman" w:hAnsi="Times New Roman" w:cs="Times New Roman"/>
        </w:rPr>
        <w:t>judetulDolj</w:t>
      </w:r>
      <w:proofErr w:type="spellEnd"/>
      <w:r w:rsidR="00EF3C18" w:rsidRPr="00EE60DC">
        <w:rPr>
          <w:rFonts w:ascii="Times New Roman" w:hAnsi="Times New Roman" w:cs="Times New Roman"/>
        </w:rPr>
        <w:t xml:space="preserve">, </w:t>
      </w:r>
      <w:proofErr w:type="spellStart"/>
      <w:r w:rsidR="00EF3C18" w:rsidRPr="00EE60DC">
        <w:rPr>
          <w:rFonts w:ascii="Times New Roman" w:hAnsi="Times New Roman" w:cs="Times New Roman"/>
        </w:rPr>
        <w:t>precum</w:t>
      </w:r>
      <w:proofErr w:type="spellEnd"/>
      <w:r w:rsidR="00EF3C18" w:rsidRPr="00EE60DC">
        <w:rPr>
          <w:rFonts w:ascii="Times New Roman" w:hAnsi="Times New Roman" w:cs="Times New Roman"/>
        </w:rPr>
        <w:t xml:space="preserve"> </w:t>
      </w:r>
      <w:proofErr w:type="spellStart"/>
      <w:r w:rsidR="00EF3C18" w:rsidRPr="00EE60DC">
        <w:rPr>
          <w:rFonts w:ascii="Times New Roman" w:hAnsi="Times New Roman" w:cs="Times New Roman"/>
        </w:rPr>
        <w:t>sistabilireaniveluluiindemnizatiei</w:t>
      </w:r>
      <w:proofErr w:type="spellEnd"/>
      <w:r w:rsidR="00EF3C18" w:rsidRPr="00EE60DC">
        <w:rPr>
          <w:rFonts w:ascii="Times New Roman" w:hAnsi="Times New Roman" w:cs="Times New Roman"/>
        </w:rPr>
        <w:t xml:space="preserve"> de </w:t>
      </w:r>
      <w:proofErr w:type="spellStart"/>
      <w:r w:rsidR="00EF3C18" w:rsidRPr="00EE60DC">
        <w:rPr>
          <w:rFonts w:ascii="Times New Roman" w:hAnsi="Times New Roman" w:cs="Times New Roman"/>
        </w:rPr>
        <w:t>sedinta</w:t>
      </w:r>
      <w:proofErr w:type="spellEnd"/>
      <w:r w:rsidR="00EF3C18" w:rsidRPr="00EE60DC">
        <w:rPr>
          <w:rFonts w:ascii="Times New Roman" w:hAnsi="Times New Roman" w:cs="Times New Roman"/>
        </w:rPr>
        <w:t xml:space="preserve"> a </w:t>
      </w:r>
      <w:proofErr w:type="spellStart"/>
      <w:r w:rsidR="00EF3C18" w:rsidRPr="00EE60DC">
        <w:rPr>
          <w:rFonts w:ascii="Times New Roman" w:hAnsi="Times New Roman" w:cs="Times New Roman"/>
        </w:rPr>
        <w:t>alesilorlocali</w:t>
      </w:r>
      <w:proofErr w:type="spellEnd"/>
      <w:r w:rsidR="00EF3C18" w:rsidRPr="00EE60DC">
        <w:rPr>
          <w:rFonts w:ascii="Times New Roman" w:hAnsi="Times New Roman" w:cs="Times New Roman"/>
        </w:rPr>
        <w:t>;</w:t>
      </w:r>
    </w:p>
    <w:p w:rsidR="003059D6" w:rsidRPr="00EE60DC" w:rsidRDefault="00B70824" w:rsidP="00EF3C18">
      <w:pPr>
        <w:spacing w:after="0"/>
        <w:ind w:left="360"/>
        <w:rPr>
          <w:rFonts w:ascii="Times New Roman" w:hAnsi="Times New Roman" w:cs="Times New Roman"/>
        </w:rPr>
      </w:pPr>
      <w:r w:rsidRPr="00EE60DC">
        <w:rPr>
          <w:rFonts w:ascii="Times New Roman" w:hAnsi="Times New Roman" w:cs="Times New Roman"/>
        </w:rPr>
        <w:t>-</w:t>
      </w:r>
      <w:proofErr w:type="spellStart"/>
      <w:r w:rsidR="003059D6" w:rsidRPr="00EE60DC">
        <w:rPr>
          <w:rFonts w:ascii="Times New Roman" w:hAnsi="Times New Roman" w:cs="Times New Roman"/>
        </w:rPr>
        <w:t>Legiicadru</w:t>
      </w:r>
      <w:proofErr w:type="spellEnd"/>
      <w:r w:rsidR="003059D6" w:rsidRPr="00EE60DC">
        <w:rPr>
          <w:rFonts w:ascii="Times New Roman" w:hAnsi="Times New Roman" w:cs="Times New Roman"/>
        </w:rPr>
        <w:t xml:space="preserve"> nr. 153/2017 </w:t>
      </w:r>
      <w:proofErr w:type="spellStart"/>
      <w:r w:rsidR="003059D6" w:rsidRPr="00EE60DC">
        <w:rPr>
          <w:rFonts w:ascii="Times New Roman" w:hAnsi="Times New Roman" w:cs="Times New Roman"/>
        </w:rPr>
        <w:t>privindsalarizareapersonaluluiplatit</w:t>
      </w:r>
      <w:proofErr w:type="spellEnd"/>
      <w:r w:rsidR="003059D6" w:rsidRPr="00EE60DC">
        <w:rPr>
          <w:rFonts w:ascii="Times New Roman" w:hAnsi="Times New Roman" w:cs="Times New Roman"/>
        </w:rPr>
        <w:t xml:space="preserve"> din </w:t>
      </w:r>
      <w:proofErr w:type="spellStart"/>
      <w:r w:rsidR="003059D6" w:rsidRPr="00EE60DC">
        <w:rPr>
          <w:rFonts w:ascii="Times New Roman" w:hAnsi="Times New Roman" w:cs="Times New Roman"/>
        </w:rPr>
        <w:t>fonduripublice</w:t>
      </w:r>
      <w:proofErr w:type="spellEnd"/>
      <w:r w:rsidR="003059D6" w:rsidRPr="00EE60DC">
        <w:rPr>
          <w:rFonts w:ascii="Times New Roman" w:hAnsi="Times New Roman" w:cs="Times New Roman"/>
        </w:rPr>
        <w:t xml:space="preserve">, cu </w:t>
      </w:r>
      <w:proofErr w:type="spellStart"/>
      <w:proofErr w:type="gramStart"/>
      <w:r w:rsidR="003059D6" w:rsidRPr="00EE60DC">
        <w:rPr>
          <w:rFonts w:ascii="Times New Roman" w:hAnsi="Times New Roman" w:cs="Times New Roman"/>
        </w:rPr>
        <w:t>modificarilesicompletarileulterioare</w:t>
      </w:r>
      <w:proofErr w:type="spellEnd"/>
      <w:r w:rsidR="003059D6" w:rsidRPr="00EE60DC">
        <w:rPr>
          <w:rFonts w:ascii="Times New Roman" w:hAnsi="Times New Roman" w:cs="Times New Roman"/>
        </w:rPr>
        <w:t xml:space="preserve"> ;</w:t>
      </w:r>
      <w:proofErr w:type="gramEnd"/>
    </w:p>
    <w:p w:rsidR="009D1475" w:rsidRPr="00EE60DC" w:rsidRDefault="00834A91" w:rsidP="00CC2F5A">
      <w:pPr>
        <w:pStyle w:val="NormalWeb"/>
        <w:spacing w:before="0" w:beforeAutospacing="0" w:after="0" w:afterAutospacing="0"/>
        <w:ind w:left="360"/>
        <w:jc w:val="both"/>
        <w:rPr>
          <w:rStyle w:val="tal"/>
          <w:i/>
          <w:color w:val="000000"/>
          <w:sz w:val="22"/>
          <w:szCs w:val="22"/>
          <w:shd w:val="clear" w:color="auto" w:fill="FFFFFF"/>
        </w:rPr>
      </w:pPr>
      <w:r w:rsidRPr="00EE60DC">
        <w:rPr>
          <w:color w:val="000000"/>
          <w:sz w:val="22"/>
          <w:szCs w:val="22"/>
          <w:shd w:val="clear" w:color="auto" w:fill="FFFFFF"/>
        </w:rPr>
        <w:t>-</w:t>
      </w:r>
      <w:proofErr w:type="spellStart"/>
      <w:r w:rsidR="003059D6" w:rsidRPr="00EE60DC">
        <w:rPr>
          <w:color w:val="000000"/>
          <w:sz w:val="22"/>
          <w:szCs w:val="22"/>
          <w:shd w:val="clear" w:color="auto" w:fill="FFFFFF"/>
        </w:rPr>
        <w:t>Avand</w:t>
      </w:r>
      <w:proofErr w:type="spellEnd"/>
      <w:r w:rsidR="003059D6" w:rsidRPr="00EE60DC">
        <w:rPr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3059D6" w:rsidRPr="00EE60DC">
        <w:rPr>
          <w:color w:val="000000"/>
          <w:sz w:val="22"/>
          <w:szCs w:val="22"/>
          <w:shd w:val="clear" w:color="auto" w:fill="FFFFFF"/>
        </w:rPr>
        <w:t>vedere</w:t>
      </w:r>
      <w:proofErr w:type="spellEnd"/>
      <w:r w:rsidR="003059D6" w:rsidRPr="00EE60DC">
        <w:rPr>
          <w:color w:val="000000"/>
          <w:sz w:val="22"/>
          <w:szCs w:val="22"/>
          <w:shd w:val="clear" w:color="auto" w:fill="FFFFFF"/>
        </w:rPr>
        <w:t xml:space="preserve"> HCL nr. 5/ 31.01.2018, </w:t>
      </w:r>
      <w:proofErr w:type="spellStart"/>
      <w:r w:rsidR="003059D6" w:rsidRPr="00EE60DC">
        <w:rPr>
          <w:color w:val="000000"/>
          <w:sz w:val="22"/>
          <w:szCs w:val="22"/>
          <w:shd w:val="clear" w:color="auto" w:fill="FFFFFF"/>
        </w:rPr>
        <w:t>privindstabilireasalariilor</w:t>
      </w:r>
      <w:proofErr w:type="spellEnd"/>
      <w:r w:rsidR="003059D6" w:rsidRPr="00EE60DC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3059D6" w:rsidRPr="00EE60DC">
        <w:rPr>
          <w:color w:val="000000"/>
          <w:sz w:val="22"/>
          <w:szCs w:val="22"/>
          <w:shd w:val="clear" w:color="auto" w:fill="FFFFFF"/>
        </w:rPr>
        <w:t>bazaraportate</w:t>
      </w:r>
      <w:proofErr w:type="spellEnd"/>
      <w:r w:rsidR="003059D6" w:rsidRPr="00EE60DC">
        <w:rPr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proofErr w:type="gramStart"/>
      <w:r w:rsidR="003059D6" w:rsidRPr="00EE60DC">
        <w:rPr>
          <w:color w:val="000000"/>
          <w:sz w:val="22"/>
          <w:szCs w:val="22"/>
          <w:shd w:val="clear" w:color="auto" w:fill="FFFFFF"/>
        </w:rPr>
        <w:t>coeficientii</w:t>
      </w:r>
      <w:proofErr w:type="spellEnd"/>
      <w:r w:rsidR="003059D6" w:rsidRPr="00EE60DC">
        <w:rPr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="003059D6" w:rsidRPr="00EE60DC">
        <w:rPr>
          <w:color w:val="000000"/>
          <w:sz w:val="22"/>
          <w:szCs w:val="22"/>
          <w:shd w:val="clear" w:color="auto" w:fill="FFFFFF"/>
        </w:rPr>
        <w:t>desalarizare</w:t>
      </w:r>
      <w:proofErr w:type="spellEnd"/>
      <w:proofErr w:type="gramEnd"/>
      <w:r w:rsidR="003059D6" w:rsidRPr="00EE60DC">
        <w:rPr>
          <w:color w:val="000000"/>
          <w:sz w:val="22"/>
          <w:szCs w:val="22"/>
          <w:shd w:val="clear" w:color="auto" w:fill="FFFFFF"/>
        </w:rPr>
        <w:t>.</w:t>
      </w:r>
    </w:p>
    <w:p w:rsidR="00391742" w:rsidRDefault="00391742" w:rsidP="00391742">
      <w:pPr>
        <w:shd w:val="clear" w:color="auto" w:fill="FFFFFF"/>
        <w:spacing w:after="0"/>
        <w:jc w:val="both"/>
        <w:rPr>
          <w:rStyle w:val="tal"/>
          <w:rFonts w:asciiTheme="majorHAnsi" w:hAnsiTheme="majorHAnsi"/>
          <w:color w:val="000000"/>
          <w:shd w:val="clear" w:color="auto" w:fill="D3D3D3"/>
        </w:rPr>
      </w:pPr>
    </w:p>
    <w:p w:rsidR="00A22978" w:rsidRPr="00391742" w:rsidRDefault="00A22978" w:rsidP="00391742">
      <w:pPr>
        <w:shd w:val="clear" w:color="auto" w:fill="FFFFFF"/>
        <w:spacing w:after="0"/>
        <w:jc w:val="both"/>
        <w:rPr>
          <w:rFonts w:asciiTheme="majorHAnsi" w:hAnsiTheme="majorHAnsi"/>
          <w:color w:val="000000"/>
          <w:sz w:val="20"/>
          <w:szCs w:val="20"/>
          <w:shd w:val="clear" w:color="auto" w:fill="D3D3D3"/>
        </w:rPr>
      </w:pPr>
      <w:r w:rsidRPr="00391742">
        <w:rPr>
          <w:rStyle w:val="tal"/>
          <w:rFonts w:asciiTheme="majorHAnsi" w:hAnsiTheme="majorHAnsi"/>
          <w:color w:val="000000"/>
          <w:sz w:val="20"/>
          <w:szCs w:val="20"/>
          <w:shd w:val="clear" w:color="auto" w:fill="D3D3D3"/>
        </w:rPr>
        <w:t xml:space="preserve"> AVAND IN VEDERE PREVEDERILE  LEGISLATIVE PENTRU ANUL 2020, INDEMNIZATIA PRIMARULUI SI VICEPRIMARULUI RAMANE LA VALOAREA SALARIULUI MINIM PE ECONOMIE PENTRU ANUL 2019.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8"/>
        <w:gridCol w:w="1525"/>
        <w:gridCol w:w="2410"/>
        <w:gridCol w:w="1985"/>
      </w:tblGrid>
      <w:tr w:rsidR="00CC2F5A" w:rsidRPr="008D25DA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Numesiprenume</w:t>
            </w:r>
            <w:proofErr w:type="spellEnd"/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Coeficent</w:t>
            </w:r>
            <w:proofErr w:type="spellEnd"/>
            <w:r w:rsidRPr="008D25DA">
              <w:rPr>
                <w:rFonts w:asciiTheme="majorHAnsi" w:eastAsia="Calibri" w:hAnsiTheme="majorHAnsi" w:cs="Times New Roman"/>
              </w:rPr>
              <w:t xml:space="preserve"> de </w:t>
            </w:r>
            <w:proofErr w:type="spellStart"/>
            <w:r w:rsidRPr="008D25DA">
              <w:rPr>
                <w:rFonts w:asciiTheme="majorHAnsi" w:eastAsia="Calibri" w:hAnsiTheme="majorHAnsi" w:cs="Times New Roman"/>
              </w:rPr>
              <w:t>ierarhizare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Valoare</w:t>
            </w:r>
            <w:proofErr w:type="spellEnd"/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8D25DA">
              <w:rPr>
                <w:rFonts w:asciiTheme="majorHAnsi" w:eastAsia="Calibri" w:hAnsiTheme="majorHAnsi" w:cs="Times New Roman"/>
              </w:rPr>
              <w:t>Indemnizatielunara</w:t>
            </w:r>
            <w:proofErr w:type="spellEnd"/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01.01.202</w:t>
            </w:r>
            <w:r w:rsidR="00617C99">
              <w:rPr>
                <w:rFonts w:asciiTheme="majorHAnsi" w:eastAsia="Calibri" w:hAnsiTheme="majorHAnsi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Sporimplementareproiectefondurieuropene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15%</w:t>
            </w:r>
          </w:p>
        </w:tc>
      </w:tr>
      <w:tr w:rsidR="00CC2F5A" w:rsidRPr="008D25DA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Primar</w:t>
            </w:r>
            <w:proofErr w:type="spellEnd"/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 xml:space="preserve">4,5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9360lei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1404lei </w:t>
            </w:r>
          </w:p>
        </w:tc>
      </w:tr>
      <w:tr w:rsidR="00CC2F5A" w:rsidRPr="008D25DA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Viceprimar</w:t>
            </w:r>
            <w:proofErr w:type="spellEnd"/>
          </w:p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8D25DA">
              <w:rPr>
                <w:rFonts w:asciiTheme="majorHAnsi" w:eastAsia="Calibri" w:hAnsiTheme="majorHAnsi" w:cs="Times New Roman"/>
              </w:rPr>
              <w:t>7280lei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5A" w:rsidRPr="008D25DA" w:rsidRDefault="00CC2F5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1092lei </w:t>
            </w:r>
          </w:p>
        </w:tc>
      </w:tr>
      <w:tr w:rsidR="006E3C0A" w:rsidRPr="008D25DA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Consiler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local 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6E3C0A" w:rsidRP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i</w:t>
            </w:r>
            <w:r w:rsidRPr="006E3C0A">
              <w:rPr>
                <w:rFonts w:asciiTheme="majorHAnsi" w:eastAsia="Calibri" w:hAnsiTheme="majorHAnsi" w:cs="Times New Roman"/>
              </w:rPr>
              <w:t>ndemnizaţiamaximălunară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de care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beneficiazăconsilierii</w:t>
            </w:r>
            <w:proofErr w:type="spellEnd"/>
          </w:p>
          <w:p w:rsidR="006E3C0A" w:rsidRP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6E3C0A">
              <w:rPr>
                <w:rFonts w:asciiTheme="majorHAnsi" w:eastAsia="Calibri" w:hAnsiTheme="majorHAnsi" w:cs="Times New Roman"/>
              </w:rPr>
              <w:t>localipentruparticiparea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la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numărul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maxim de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şedinţe</w:t>
            </w:r>
            <w:proofErr w:type="spellEnd"/>
          </w:p>
          <w:p w:rsidR="006E3C0A" w:rsidRDefault="006E3C0A" w:rsidP="006E3C0A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6E3C0A">
              <w:rPr>
                <w:rFonts w:asciiTheme="majorHAnsi" w:eastAsia="Calibri" w:hAnsiTheme="majorHAnsi" w:cs="Times New Roman"/>
              </w:rPr>
              <w:t>este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de 10% din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indemnizaţialunară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t xml:space="preserve"> a </w:t>
            </w:r>
            <w:proofErr w:type="spellStart"/>
            <w:r w:rsidRPr="006E3C0A">
              <w:rPr>
                <w:rFonts w:asciiTheme="majorHAnsi" w:eastAsia="Calibri" w:hAnsiTheme="majorHAnsi" w:cs="Times New Roman"/>
              </w:rPr>
              <w:t>Primarului</w:t>
            </w:r>
            <w:proofErr w:type="spellEnd"/>
            <w:r w:rsidRPr="006E3C0A">
              <w:rPr>
                <w:rFonts w:asciiTheme="majorHAnsi" w:eastAsia="Calibri" w:hAnsiTheme="majorHAnsi" w:cs="Times New Roman"/>
              </w:rPr>
              <w:cr/>
            </w:r>
          </w:p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</w:tr>
      <w:tr w:rsidR="006E3C0A" w:rsidRPr="008D25DA" w:rsidTr="00B708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0A" w:rsidRDefault="006E3C0A" w:rsidP="0039174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</w:tc>
      </w:tr>
    </w:tbl>
    <w:p w:rsidR="006E3C0A" w:rsidRPr="006E3C0A" w:rsidRDefault="006E3C0A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Sporuri</w:t>
      </w:r>
      <w:proofErr w:type="spellEnd"/>
    </w:p>
    <w:p w:rsidR="006E3C0A" w:rsidRPr="006E3C0A" w:rsidRDefault="006E3C0A" w:rsidP="006E3C0A">
      <w:pPr>
        <w:pStyle w:val="ListParagraph"/>
        <w:numPr>
          <w:ilvl w:val="0"/>
          <w:numId w:val="2"/>
        </w:num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Pentrumuncaprestatăîntimpulnopţii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acordă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un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spor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25%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6E3C0A" w:rsidRDefault="006E3C0A" w:rsidP="00754E5C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conform art. 20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153 / 2017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privindsalarizareapersonaluluiplătit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proofErr w:type="gramStart"/>
      <w:r w:rsidRPr="006E3C0A">
        <w:rPr>
          <w:rFonts w:ascii="Times New Roman" w:hAnsi="Times New Roman"/>
          <w:bCs/>
          <w:color w:val="000000"/>
          <w:sz w:val="24"/>
          <w:szCs w:val="24"/>
        </w:rPr>
        <w:t>fonduripublice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6E3C0A" w:rsidRPr="000C183E" w:rsidRDefault="006E3C0A" w:rsidP="000C183E">
      <w:pPr>
        <w:pStyle w:val="ListParagraph"/>
        <w:numPr>
          <w:ilvl w:val="0"/>
          <w:numId w:val="2"/>
        </w:num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Personalul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exercităactivitatea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control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financiarpreventiv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</w:t>
      </w:r>
      <w:r w:rsidRPr="000C183E">
        <w:rPr>
          <w:rFonts w:ascii="Times New Roman" w:hAnsi="Times New Roman"/>
          <w:bCs/>
          <w:color w:val="000000"/>
          <w:sz w:val="24"/>
          <w:szCs w:val="24"/>
        </w:rPr>
        <w:t>perioada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exercitareaacesteia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beneficiază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o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majorare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salariului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cu 10%. - art. 15 din </w:t>
      </w:r>
      <w:proofErr w:type="spellStart"/>
      <w:r w:rsidRPr="000C183E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0C183E">
        <w:rPr>
          <w:rFonts w:ascii="Times New Roman" w:hAnsi="Times New Roman"/>
          <w:bCs/>
          <w:color w:val="000000"/>
          <w:sz w:val="24"/>
          <w:szCs w:val="24"/>
        </w:rPr>
        <w:t xml:space="preserve"> nr. 153/2017</w:t>
      </w:r>
    </w:p>
    <w:p w:rsidR="006E3C0A" w:rsidRPr="006E3C0A" w:rsidRDefault="006E3C0A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e)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Vouchere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vacanț</w:t>
      </w:r>
      <w:r w:rsidR="00EE60DC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spellEnd"/>
      <w:r w:rsidR="00EE60D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="00EE60DC">
        <w:rPr>
          <w:rFonts w:ascii="Times New Roman" w:hAnsi="Times New Roman"/>
          <w:bCs/>
          <w:color w:val="000000"/>
          <w:sz w:val="24"/>
          <w:szCs w:val="24"/>
        </w:rPr>
        <w:t>da</w:t>
      </w:r>
      <w:proofErr w:type="spellEnd"/>
      <w:r w:rsidR="005514A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</w:p>
    <w:p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E3C0A" w:rsidRPr="006E3C0A" w:rsidRDefault="006E3C0A" w:rsidP="006E3C0A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3C0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f)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Indemnizație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hrana</w:t>
      </w:r>
      <w:proofErr w:type="spellEnd"/>
    </w:p>
    <w:p w:rsidR="00B70824" w:rsidRDefault="006E3C0A" w:rsidP="00EE60DC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Salariatii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cu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exceptiapersoanelor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ocupăfuncţii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demnitatepublică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si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</w:p>
    <w:p w:rsidR="006E3C0A" w:rsidRPr="006E3C0A" w:rsidRDefault="006E3C0A" w:rsidP="00EE60DC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6E3C0A">
        <w:rPr>
          <w:rFonts w:ascii="Times New Roman" w:hAnsi="Times New Roman"/>
          <w:bCs/>
          <w:color w:val="000000"/>
          <w:sz w:val="24"/>
          <w:szCs w:val="24"/>
        </w:rPr>
        <w:t>exceptiapersoanelor</w:t>
      </w:r>
      <w:proofErr w:type="spellEnd"/>
      <w:proofErr w:type="gram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care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ardepasisalariul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vceprimaruluibeneficiaza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indemnizaţiede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hranăreprezentânda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12-a parte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douăsalarii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bazăminime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brute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ţarăgarantateînplată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, la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nivelulanului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2019, conform art. 18 din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cadru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nr. 153 / 2017 </w:t>
      </w:r>
      <w:proofErr w:type="spellStart"/>
      <w:r w:rsidRPr="006E3C0A">
        <w:rPr>
          <w:rFonts w:ascii="Times New Roman" w:hAnsi="Times New Roman"/>
          <w:bCs/>
          <w:color w:val="000000"/>
          <w:sz w:val="24"/>
          <w:szCs w:val="24"/>
        </w:rPr>
        <w:t>privindsalarizareapersonaluluiplătit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proofErr w:type="gramStart"/>
      <w:r w:rsidRPr="006E3C0A">
        <w:rPr>
          <w:rFonts w:ascii="Times New Roman" w:hAnsi="Times New Roman"/>
          <w:bCs/>
          <w:color w:val="000000"/>
          <w:sz w:val="24"/>
          <w:szCs w:val="24"/>
        </w:rPr>
        <w:t>fonduripublice</w:t>
      </w:r>
      <w:proofErr w:type="spellEnd"/>
      <w:r w:rsidRPr="006E3C0A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B70824" w:rsidRDefault="00B70824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1742" w:rsidRDefault="00391742" w:rsidP="00391742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Functionaripublici</w:t>
      </w:r>
      <w:proofErr w:type="spellEnd"/>
    </w:p>
    <w:tbl>
      <w:tblPr>
        <w:tblW w:w="9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992"/>
        <w:gridCol w:w="1021"/>
        <w:gridCol w:w="1105"/>
        <w:gridCol w:w="1447"/>
        <w:gridCol w:w="1134"/>
        <w:gridCol w:w="1275"/>
      </w:tblGrid>
      <w:tr w:rsidR="00B70824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0824">
              <w:rPr>
                <w:rFonts w:ascii="Times New Roman" w:hAnsi="Times New Roman"/>
                <w:sz w:val="18"/>
                <w:szCs w:val="18"/>
              </w:rPr>
              <w:t xml:space="preserve">Nr. </w:t>
            </w:r>
          </w:p>
          <w:p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  <w:r w:rsidRPr="00B708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24" w:rsidRPr="00B70824" w:rsidRDefault="00B70824" w:rsidP="00CC2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Functia</w:t>
            </w:r>
            <w:proofErr w:type="spellEnd"/>
          </w:p>
          <w:p w:rsidR="00B70824" w:rsidRPr="00B70824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24" w:rsidRPr="00B70824" w:rsidRDefault="00B70824" w:rsidP="00CC2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Gradatia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824" w:rsidRPr="008851A7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Coeficientierarhizare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Salariu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</w:p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Incepand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cu data de </w:t>
            </w:r>
          </w:p>
          <w:p w:rsidR="007827C0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01.01.2020</w:t>
            </w:r>
            <w:r w:rsidR="00635F99">
              <w:rPr>
                <w:rFonts w:ascii="Times New Roman" w:hAnsi="Times New Roman"/>
                <w:sz w:val="18"/>
                <w:szCs w:val="18"/>
              </w:rPr>
              <w:t>/2021</w:t>
            </w:r>
            <w:r w:rsidR="007827C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70824" w:rsidRPr="008851A7" w:rsidRDefault="007827C0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Sporconditiivatamatoare</w:t>
            </w:r>
            <w:proofErr w:type="spellEnd"/>
          </w:p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50C6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Indemnizatie</w:t>
            </w:r>
            <w:proofErr w:type="spellEnd"/>
          </w:p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hrana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Default="00B70824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Vouchere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vacanta</w:t>
            </w:r>
            <w:proofErr w:type="spellEnd"/>
          </w:p>
        </w:tc>
      </w:tr>
      <w:tr w:rsidR="00B70824" w:rsidTr="007827C0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Secretar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general al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comuneiGoiesti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judetulDolj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824" w:rsidRPr="008851A7" w:rsidRDefault="00B70824" w:rsidP="00F02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3,10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6913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Pr="005514A7" w:rsidRDefault="005514A7" w:rsidP="00CC2F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514A7">
              <w:rPr>
                <w:rFonts w:ascii="Times New Roman" w:hAnsi="Times New Roman"/>
                <w:sz w:val="14"/>
                <w:szCs w:val="14"/>
              </w:rPr>
              <w:t xml:space="preserve">Se </w:t>
            </w:r>
            <w:proofErr w:type="spellStart"/>
            <w:r w:rsidRPr="005514A7">
              <w:rPr>
                <w:rFonts w:ascii="Times New Roman" w:hAnsi="Times New Roman"/>
                <w:sz w:val="14"/>
                <w:szCs w:val="14"/>
              </w:rPr>
              <w:t>acordafara</w:t>
            </w:r>
            <w:proofErr w:type="spellEnd"/>
            <w:r w:rsidRPr="005514A7">
              <w:rPr>
                <w:rFonts w:ascii="Times New Roman" w:hAnsi="Times New Roman"/>
                <w:sz w:val="14"/>
                <w:szCs w:val="14"/>
              </w:rPr>
              <w:t xml:space="preserve"> a </w:t>
            </w:r>
            <w:proofErr w:type="spellStart"/>
            <w:r w:rsidRPr="005514A7">
              <w:rPr>
                <w:rFonts w:ascii="Times New Roman" w:hAnsi="Times New Roman"/>
                <w:sz w:val="14"/>
                <w:szCs w:val="14"/>
              </w:rPr>
              <w:t>depasiindemnizatiaacordataviceprimarului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Pr="00CF27E8" w:rsidRDefault="00B70824" w:rsidP="00F0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24" w:rsidRPr="00CF27E8" w:rsidRDefault="00EE60DC" w:rsidP="00551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superior Comp.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Dezv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rurala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7827C0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7827C0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7E2384" w:rsidRDefault="007E2384" w:rsidP="00EE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8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635F99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F99">
              <w:rPr>
                <w:rFonts w:ascii="Times New Roman" w:hAnsi="Times New Roman"/>
                <w:sz w:val="18"/>
                <w:szCs w:val="18"/>
              </w:rPr>
              <w:t xml:space="preserve">Insp. Principal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35F99">
              <w:rPr>
                <w:rFonts w:ascii="Times New Roman" w:hAnsi="Times New Roman"/>
                <w:sz w:val="18"/>
                <w:szCs w:val="18"/>
              </w:rPr>
              <w:t>contabil</w:t>
            </w:r>
            <w:proofErr w:type="spellEnd"/>
          </w:p>
          <w:p w:rsidR="00EE60DC" w:rsidRPr="00635F99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</w:t>
            </w:r>
          </w:p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7E2384" w:rsidRDefault="00EE60DC" w:rsidP="00EE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8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Pr="008851A7"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Inspector </w:t>
            </w:r>
            <w:r>
              <w:rPr>
                <w:rFonts w:ascii="Times New Roman" w:hAnsi="Times New Roman"/>
                <w:sz w:val="18"/>
                <w:szCs w:val="18"/>
              </w:rPr>
              <w:t>principal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Ispector</w:t>
            </w:r>
            <w:r>
              <w:rPr>
                <w:rFonts w:ascii="Times New Roman" w:hAnsi="Times New Roman"/>
                <w:sz w:val="18"/>
                <w:szCs w:val="18"/>
              </w:rPr>
              <w:t>principal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Inspector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principal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Referent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1,50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3345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  <w:tr w:rsidR="00EE60DC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851A7"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 w:rsidR="00782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827C0">
              <w:rPr>
                <w:rFonts w:ascii="Times New Roman" w:hAnsi="Times New Roman"/>
                <w:sz w:val="18"/>
                <w:szCs w:val="18"/>
              </w:rPr>
              <w:t>juridic</w:t>
            </w:r>
            <w:r>
              <w:rPr>
                <w:rFonts w:ascii="Times New Roman" w:hAnsi="Times New Roman"/>
                <w:sz w:val="18"/>
                <w:szCs w:val="18"/>
              </w:rPr>
              <w:t>-gradul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Pr="008851A7" w:rsidRDefault="00EE60DC" w:rsidP="00EE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1A7">
              <w:rPr>
                <w:rFonts w:ascii="Times New Roman" w:hAnsi="Times New Roman"/>
                <w:b/>
              </w:rPr>
              <w:t>2,38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CF27E8">
              <w:rPr>
                <w:rFonts w:ascii="Times New Roman" w:hAnsi="Times New Roman"/>
              </w:rPr>
              <w:t>5307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CF27E8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5A50F3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F92C28" w:rsidRDefault="00EE60DC" w:rsidP="00EE60DC">
            <w:r w:rsidRPr="00F92C28">
              <w:t xml:space="preserve">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jc w:val="center"/>
            </w:pPr>
            <w:r w:rsidRPr="000B2C7A">
              <w:rPr>
                <w:rFonts w:ascii="Times New Roman" w:hAnsi="Times New Roman"/>
              </w:rPr>
              <w:t xml:space="preserve">Da </w:t>
            </w:r>
          </w:p>
        </w:tc>
      </w:tr>
    </w:tbl>
    <w:p w:rsidR="00391742" w:rsidRDefault="00391742" w:rsidP="003917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contractual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851"/>
        <w:gridCol w:w="1134"/>
        <w:gridCol w:w="1843"/>
        <w:gridCol w:w="1559"/>
        <w:gridCol w:w="1417"/>
        <w:gridCol w:w="1134"/>
        <w:gridCol w:w="1021"/>
      </w:tblGrid>
      <w:tr w:rsidR="00754E5C" w:rsidTr="00250C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0824">
              <w:rPr>
                <w:rFonts w:ascii="Times New Roman" w:hAnsi="Times New Roman"/>
                <w:sz w:val="18"/>
                <w:szCs w:val="18"/>
              </w:rPr>
              <w:t xml:space="preserve">Nr. </w:t>
            </w:r>
          </w:p>
          <w:p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  <w:r w:rsidRPr="00B708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24" w:rsidRPr="00B70824" w:rsidRDefault="00B70824" w:rsidP="00B70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Functia</w:t>
            </w:r>
            <w:proofErr w:type="spellEnd"/>
          </w:p>
          <w:p w:rsidR="00754E5C" w:rsidRPr="00B70824" w:rsidRDefault="00754E5C" w:rsidP="00F02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C" w:rsidRPr="00B70824" w:rsidRDefault="00B70824" w:rsidP="00B70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0824">
              <w:rPr>
                <w:rFonts w:ascii="Times New Roman" w:hAnsi="Times New Roman"/>
                <w:sz w:val="18"/>
                <w:szCs w:val="18"/>
              </w:rPr>
              <w:t>gradatia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5C" w:rsidRPr="003059D6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9D6">
              <w:rPr>
                <w:rFonts w:ascii="Times New Roman" w:hAnsi="Times New Roman"/>
                <w:sz w:val="20"/>
                <w:szCs w:val="20"/>
              </w:rPr>
              <w:t>Coeficientierarhizare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Salariu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bazaincepand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cu 01.</w:t>
            </w:r>
            <w:r w:rsidR="00250C6C">
              <w:rPr>
                <w:rFonts w:ascii="Times New Roman" w:hAnsi="Times New Roman"/>
                <w:sz w:val="20"/>
                <w:szCs w:val="20"/>
              </w:rPr>
              <w:t>01.2021-06.05.2021</w:t>
            </w:r>
          </w:p>
          <w:p w:rsidR="000C183E" w:rsidRPr="003059D6" w:rsidRDefault="000C183E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Sporconditiivatamatoare</w:t>
            </w:r>
            <w:proofErr w:type="spellEnd"/>
          </w:p>
          <w:p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0C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salariul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</w:p>
          <w:p w:rsidR="00754E5C" w:rsidRDefault="00754E5C" w:rsidP="00F0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proofErr w:type="spellStart"/>
            <w:r w:rsidRPr="000C183E">
              <w:rPr>
                <w:rFonts w:ascii="Times New Roman" w:hAnsi="Times New Roman" w:cs="Times New Roman"/>
              </w:rPr>
              <w:t>Indemnizatie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C183E">
              <w:rPr>
                <w:rFonts w:ascii="Times New Roman" w:hAnsi="Times New Roman" w:cs="Times New Roman"/>
              </w:rPr>
              <w:t>hrana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proofErr w:type="spellStart"/>
            <w:r w:rsidRPr="000C183E">
              <w:rPr>
                <w:rFonts w:ascii="Times New Roman" w:hAnsi="Times New Roman" w:cs="Times New Roman"/>
              </w:rPr>
              <w:t>Vouchere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C183E">
              <w:rPr>
                <w:rFonts w:ascii="Times New Roman" w:hAnsi="Times New Roman" w:cs="Times New Roman"/>
              </w:rPr>
              <w:t>vacanta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5C" w:rsidRPr="000C183E" w:rsidRDefault="00754E5C" w:rsidP="0024266A">
            <w:pPr>
              <w:rPr>
                <w:rFonts w:ascii="Times New Roman" w:hAnsi="Times New Roman" w:cs="Times New Roman"/>
              </w:rPr>
            </w:pPr>
            <w:proofErr w:type="spellStart"/>
            <w:r w:rsidRPr="000C183E">
              <w:rPr>
                <w:rFonts w:ascii="Times New Roman" w:hAnsi="Times New Roman" w:cs="Times New Roman"/>
              </w:rPr>
              <w:t>Alte</w:t>
            </w:r>
            <w:proofErr w:type="spellEnd"/>
            <w:r w:rsidRPr="000C1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3E">
              <w:rPr>
                <w:rFonts w:ascii="Times New Roman" w:hAnsi="Times New Roman" w:cs="Times New Roman"/>
              </w:rPr>
              <w:t>sporuri</w:t>
            </w:r>
            <w:proofErr w:type="spellEnd"/>
          </w:p>
        </w:tc>
      </w:tr>
      <w:tr w:rsidR="00EE60DC" w:rsidTr="00250C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Muncitor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6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51">
              <w:rPr>
                <w:rFonts w:ascii="Times New Roman" w:hAnsi="Times New Roman"/>
                <w:b/>
              </w:rPr>
              <w:t>1,45</w:t>
            </w:r>
          </w:p>
          <w:p w:rsidR="00EE60DC" w:rsidRPr="00244651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05D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25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0DC" w:rsidTr="00250C6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4651">
              <w:rPr>
                <w:rFonts w:ascii="Times New Roman" w:hAnsi="Times New Roman"/>
                <w:sz w:val="18"/>
                <w:szCs w:val="18"/>
              </w:rPr>
              <w:t>Muncitor</w:t>
            </w:r>
            <w:proofErr w:type="spellEnd"/>
            <w:r w:rsidRPr="00244651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6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51">
              <w:rPr>
                <w:rFonts w:ascii="Times New Roman" w:hAnsi="Times New Roman"/>
                <w:b/>
              </w:rPr>
              <w:t>1,45</w:t>
            </w:r>
          </w:p>
          <w:p w:rsidR="00EE60DC" w:rsidRPr="00244651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05D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25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noapte</w:t>
            </w:r>
            <w:proofErr w:type="spellEnd"/>
            <w:r>
              <w:rPr>
                <w:rFonts w:ascii="Times New Roman" w:hAnsi="Times New Roman"/>
              </w:rPr>
              <w:t xml:space="preserve">  25% </w:t>
            </w:r>
          </w:p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luni</w:t>
            </w:r>
            <w:proofErr w:type="spellEnd"/>
            <w:r>
              <w:rPr>
                <w:rFonts w:ascii="Times New Roman" w:hAnsi="Times New Roman"/>
              </w:rPr>
              <w:t xml:space="preserve">/an </w:t>
            </w:r>
          </w:p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0DC" w:rsidTr="00250C6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Muncitordeserv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utilaje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Pr="00244651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244651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05D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480939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25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0DC" w:rsidTr="00250C6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Consilier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personal </w:t>
            </w:r>
          </w:p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A6405D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00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480939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 w:rsidRPr="00ED3200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Pr="00480939" w:rsidRDefault="00EE60DC" w:rsidP="00EE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25">
              <w:rPr>
                <w:rFonts w:ascii="Times New Roman" w:hAnsi="Times New Roman"/>
              </w:rPr>
              <w:t xml:space="preserve">Da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0DC" w:rsidRDefault="00EE60DC" w:rsidP="00EE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E60DC" w:rsidRDefault="00EE60DC" w:rsidP="00391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27C0" w:rsidRDefault="007827C0" w:rsidP="00391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6FE" w:rsidRPr="00E711ED" w:rsidRDefault="004046FE" w:rsidP="00391742">
      <w:pPr>
        <w:spacing w:after="0"/>
        <w:rPr>
          <w:rFonts w:ascii="Times New Roman" w:hAnsi="Times New Roman"/>
          <w:b/>
          <w:sz w:val="24"/>
          <w:szCs w:val="24"/>
        </w:rPr>
      </w:pPr>
      <w:r w:rsidRPr="00E711ED">
        <w:rPr>
          <w:rFonts w:ascii="Times New Roman" w:hAnsi="Times New Roman"/>
          <w:b/>
          <w:sz w:val="24"/>
          <w:szCs w:val="24"/>
        </w:rPr>
        <w:t xml:space="preserve">Personal contractual – </w:t>
      </w:r>
      <w:proofErr w:type="spellStart"/>
      <w:r w:rsidRPr="00E711ED">
        <w:rPr>
          <w:rFonts w:ascii="Times New Roman" w:hAnsi="Times New Roman"/>
          <w:b/>
          <w:sz w:val="24"/>
          <w:szCs w:val="24"/>
        </w:rPr>
        <w:t>asistentipersonali</w:t>
      </w:r>
      <w:proofErr w:type="spellEnd"/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2977"/>
        <w:gridCol w:w="1275"/>
        <w:gridCol w:w="1843"/>
        <w:gridCol w:w="2126"/>
      </w:tblGrid>
      <w:tr w:rsidR="00E711ED" w:rsidRPr="004046FE" w:rsidTr="00782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</w:p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Functia</w:t>
            </w:r>
            <w:proofErr w:type="spellEnd"/>
          </w:p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vechime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Salariu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046FE">
              <w:rPr>
                <w:rFonts w:ascii="Times New Roman" w:hAnsi="Times New Roman"/>
                <w:sz w:val="24"/>
                <w:szCs w:val="24"/>
              </w:rPr>
              <w:t>bazaincepand</w:t>
            </w:r>
            <w:proofErr w:type="spellEnd"/>
            <w:r w:rsidRPr="004046FE">
              <w:rPr>
                <w:rFonts w:ascii="Times New Roman" w:hAnsi="Times New Roman"/>
                <w:sz w:val="24"/>
                <w:szCs w:val="24"/>
              </w:rPr>
              <w:t xml:space="preserve"> cu 01.01.</w:t>
            </w:r>
            <w:r w:rsidR="004D1525">
              <w:rPr>
                <w:rFonts w:ascii="Times New Roman" w:hAnsi="Times New Roman"/>
                <w:sz w:val="24"/>
                <w:szCs w:val="24"/>
              </w:rPr>
              <w:t>202</w:t>
            </w:r>
            <w:r w:rsidR="00870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7827C0" w:rsidRDefault="00E711ED" w:rsidP="004046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27C0">
              <w:rPr>
                <w:rFonts w:ascii="Times New Roman" w:hAnsi="Times New Roman"/>
              </w:rPr>
              <w:t>Beneficiaza</w:t>
            </w:r>
            <w:proofErr w:type="spellEnd"/>
            <w:r w:rsidRPr="007827C0">
              <w:rPr>
                <w:rFonts w:ascii="Times New Roman" w:hAnsi="Times New Roman"/>
              </w:rPr>
              <w:t xml:space="preserve"> de </w:t>
            </w:r>
            <w:proofErr w:type="spellStart"/>
            <w:r w:rsidRPr="007827C0">
              <w:rPr>
                <w:rFonts w:ascii="Times New Roman" w:hAnsi="Times New Roman"/>
              </w:rPr>
              <w:t>indemnizatie</w:t>
            </w:r>
            <w:proofErr w:type="spellEnd"/>
            <w:r w:rsidRPr="007827C0">
              <w:rPr>
                <w:rFonts w:ascii="Times New Roman" w:hAnsi="Times New Roman"/>
              </w:rPr>
              <w:t xml:space="preserve"> de </w:t>
            </w:r>
            <w:proofErr w:type="spellStart"/>
            <w:r w:rsidRPr="007827C0">
              <w:rPr>
                <w:rFonts w:ascii="Times New Roman" w:hAnsi="Times New Roman"/>
              </w:rPr>
              <w:t>hranaincepand</w:t>
            </w:r>
            <w:proofErr w:type="spellEnd"/>
            <w:r w:rsidRPr="007827C0">
              <w:rPr>
                <w:rFonts w:ascii="Times New Roman" w:hAnsi="Times New Roman"/>
              </w:rPr>
              <w:t xml:space="preserve"> cu data de 01.01.2020, conf. </w:t>
            </w:r>
            <w:proofErr w:type="spellStart"/>
            <w:r w:rsidRPr="007827C0">
              <w:rPr>
                <w:rFonts w:ascii="Times New Roman" w:hAnsi="Times New Roman"/>
              </w:rPr>
              <w:t>PrevederilorLegi</w:t>
            </w:r>
            <w:proofErr w:type="spellEnd"/>
            <w:r w:rsidRPr="007827C0">
              <w:rPr>
                <w:rFonts w:ascii="Times New Roman" w:hAnsi="Times New Roman"/>
              </w:rPr>
              <w:t xml:space="preserve"> nr. 153/2017, cu </w:t>
            </w:r>
            <w:proofErr w:type="spellStart"/>
            <w:r w:rsidRPr="007827C0">
              <w:rPr>
                <w:rFonts w:ascii="Times New Roman" w:hAnsi="Times New Roman"/>
              </w:rPr>
              <w:t>modific</w:t>
            </w:r>
            <w:proofErr w:type="spellEnd"/>
            <w:r w:rsidRPr="007827C0">
              <w:rPr>
                <w:rFonts w:ascii="Times New Roman" w:hAnsi="Times New Roman"/>
              </w:rPr>
              <w:t xml:space="preserve">. </w:t>
            </w:r>
            <w:proofErr w:type="spellStart"/>
            <w:r w:rsidRPr="007827C0">
              <w:rPr>
                <w:rFonts w:ascii="Times New Roman" w:hAnsi="Times New Roman"/>
              </w:rPr>
              <w:t>Ci</w:t>
            </w:r>
            <w:proofErr w:type="spellEnd"/>
            <w:r w:rsidRPr="007827C0">
              <w:rPr>
                <w:rFonts w:ascii="Times New Roman" w:hAnsi="Times New Roman"/>
              </w:rPr>
              <w:t xml:space="preserve"> </w:t>
            </w:r>
            <w:proofErr w:type="spellStart"/>
            <w:r w:rsidRPr="007827C0">
              <w:rPr>
                <w:rFonts w:ascii="Times New Roman" w:hAnsi="Times New Roman"/>
              </w:rPr>
              <w:t>completarileulterioare</w:t>
            </w:r>
            <w:proofErr w:type="spellEnd"/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personal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56044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7C0">
              <w:rPr>
                <w:rFonts w:ascii="Times New Roman" w:hAnsi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56044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4E7">
              <w:rPr>
                <w:rFonts w:ascii="Times New Roman" w:hAnsi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4E7">
              <w:rPr>
                <w:rFonts w:ascii="Times New Roman" w:hAnsi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7827C0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7C0">
              <w:rPr>
                <w:rFonts w:ascii="Times New Roman" w:hAnsi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56044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4E7">
              <w:rPr>
                <w:rFonts w:ascii="Times New Roman" w:hAnsi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4E7">
              <w:rPr>
                <w:rFonts w:ascii="Times New Roman" w:hAnsi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  <w:tr w:rsidR="00E711ED" w:rsidRPr="004046FE" w:rsidTr="007827C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F41E90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D" w:rsidRPr="004046FE" w:rsidRDefault="00E711ED" w:rsidP="00087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  <w:r w:rsidRPr="00E711ED">
              <w:rPr>
                <w:rFonts w:ascii="Times New Roman" w:hAnsi="Times New Roman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E711ED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7C0">
              <w:rPr>
                <w:rFonts w:ascii="Times New Roman" w:hAnsi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1ED" w:rsidRPr="004046FE" w:rsidRDefault="0044798F" w:rsidP="0040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</w:tr>
    </w:tbl>
    <w:p w:rsidR="002F4215" w:rsidRDefault="00391742" w:rsidP="00EE60D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6DA2" w:rsidRPr="003A6DA2" w:rsidRDefault="003A6DA2" w:rsidP="003A6DA2">
      <w:pPr>
        <w:shd w:val="clear" w:color="auto" w:fill="FFFFFF"/>
        <w:jc w:val="both"/>
        <w:rPr>
          <w:rFonts w:asciiTheme="majorHAnsi" w:hAnsiTheme="majorHAnsi"/>
          <w:color w:val="000000"/>
        </w:rPr>
      </w:pPr>
      <w:bookmarkStart w:id="0" w:name="do|caII|ar34|al2"/>
      <w:bookmarkEnd w:id="0"/>
      <w:proofErr w:type="gramStart"/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t>-(</w:t>
      </w:r>
      <w:proofErr w:type="gramEnd"/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t>2)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Începând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lunaianuarie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</w:t>
      </w:r>
      <w:r w:rsidR="0056044D">
        <w:rPr>
          <w:rStyle w:val="tal"/>
          <w:rFonts w:asciiTheme="majorHAnsi" w:hAnsiTheme="majorHAnsi"/>
          <w:color w:val="000000"/>
          <w:shd w:val="clear" w:color="auto" w:fill="D3D3D3"/>
        </w:rPr>
        <w:t>1</w:t>
      </w:r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cuantumulsporurilor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indemnizaţiilor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compensaţiilor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primelorşi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al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celorlalteelemente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ale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sistemului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salarizare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care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fac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parte,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potrivitlegii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salariul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brut lunar,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soldalunară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care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beneficiazăpersonalulplătit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fonduripublice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se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menţinecelmult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nivelulcuantumuluiacordatpentrulunadecembrie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</w:t>
      </w:r>
      <w:r w:rsidR="0056044D">
        <w:rPr>
          <w:rStyle w:val="tal"/>
          <w:rFonts w:asciiTheme="majorHAnsi" w:hAnsiTheme="majorHAnsi"/>
          <w:color w:val="000000"/>
          <w:shd w:val="clear" w:color="auto" w:fill="D3D3D3"/>
        </w:rPr>
        <w:t>20</w:t>
      </w:r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înmăsuraîn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care personalulocupăaceeaşifuncţieşiîşidesfăşoarăactivitateaînaceleaşicondiţii.</w:t>
      </w:r>
    </w:p>
    <w:p w:rsidR="003A6DA2" w:rsidRDefault="003A6DA2" w:rsidP="003A6DA2">
      <w:pPr>
        <w:shd w:val="clear" w:color="auto" w:fill="FFFFFF"/>
        <w:jc w:val="both"/>
        <w:rPr>
          <w:rStyle w:val="tal"/>
          <w:rFonts w:asciiTheme="majorHAnsi" w:hAnsiTheme="majorHAnsi"/>
          <w:color w:val="000000"/>
          <w:shd w:val="clear" w:color="auto" w:fill="D3D3D3"/>
        </w:rPr>
      </w:pPr>
      <w:proofErr w:type="gramStart"/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t>-(</w:t>
      </w:r>
      <w:proofErr w:type="gramEnd"/>
      <w:r w:rsidRPr="003A6DA2">
        <w:rPr>
          <w:rStyle w:val="al"/>
          <w:rFonts w:asciiTheme="majorHAnsi" w:hAnsiTheme="majorHAnsi"/>
          <w:b/>
          <w:bCs/>
          <w:color w:val="008F00"/>
          <w:shd w:val="clear" w:color="auto" w:fill="D3D3D3"/>
        </w:rPr>
        <w:t>7)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Prinderogare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prevederile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art. 38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alin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. (3) lit. f)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Legea-cadru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 </w:t>
      </w:r>
      <w:hyperlink r:id="rId5" w:history="1">
        <w:r w:rsidRPr="003A6DA2">
          <w:rPr>
            <w:rStyle w:val="Hyperlink"/>
            <w:rFonts w:asciiTheme="majorHAnsi" w:hAnsiTheme="majorHAnsi"/>
            <w:b/>
            <w:bCs/>
            <w:color w:val="333399"/>
            <w:shd w:val="clear" w:color="auto" w:fill="D3D3D3"/>
          </w:rPr>
          <w:t>153/2017</w:t>
        </w:r>
      </w:hyperlink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 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privindsalarizareapersonaluluiplătit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din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fonduripublice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modificărileşicompletărileulterioare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înanul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2020,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începând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drepturileaferenteluniiianuarie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2020,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indemnizaţiilelunarepentrufuncţiile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de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demnitatepublicăşifuncţiileasimilateacestora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prevăzuteînanexa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 IX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Legea-cadru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nr. </w:t>
      </w:r>
      <w:hyperlink r:id="rId6" w:history="1">
        <w:r w:rsidRPr="003A6DA2">
          <w:rPr>
            <w:rStyle w:val="Hyperlink"/>
            <w:rFonts w:asciiTheme="majorHAnsi" w:hAnsiTheme="majorHAnsi"/>
            <w:b/>
            <w:bCs/>
            <w:color w:val="333399"/>
            <w:shd w:val="clear" w:color="auto" w:fill="D3D3D3"/>
          </w:rPr>
          <w:t>153/2017</w:t>
        </w:r>
      </w:hyperlink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cu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modificărileşicompletărileulterioare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, se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menţin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la </w:t>
      </w:r>
      <w:proofErr w:type="spellStart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>nivelulaferentluniidecembrie</w:t>
      </w:r>
      <w:proofErr w:type="spellEnd"/>
      <w:r w:rsidRPr="003A6DA2">
        <w:rPr>
          <w:rStyle w:val="tal"/>
          <w:rFonts w:asciiTheme="majorHAnsi" w:hAnsiTheme="majorHAnsi"/>
          <w:color w:val="000000"/>
          <w:shd w:val="clear" w:color="auto" w:fill="D3D3D3"/>
        </w:rPr>
        <w:t xml:space="preserve"> 2019.</w:t>
      </w:r>
    </w:p>
    <w:p w:rsidR="003059D6" w:rsidRDefault="003059D6" w:rsidP="00062858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9D6" w:rsidRDefault="003059D6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334A" w:rsidRDefault="00D4334A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334A" w:rsidRDefault="00D4334A" w:rsidP="003059D6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9D6" w:rsidRPr="008704E7" w:rsidRDefault="003059D6" w:rsidP="008704E7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ADD" w:rsidRDefault="00110ADD"/>
    <w:sectPr w:rsidR="00110ADD" w:rsidSect="000C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CD3"/>
    <w:multiLevelType w:val="hybridMultilevel"/>
    <w:tmpl w:val="00785636"/>
    <w:lvl w:ilvl="0" w:tplc="47AAAE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B1C"/>
    <w:multiLevelType w:val="hybridMultilevel"/>
    <w:tmpl w:val="8904E93C"/>
    <w:lvl w:ilvl="0" w:tplc="6EDC6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9D6"/>
    <w:rsid w:val="00062858"/>
    <w:rsid w:val="00082687"/>
    <w:rsid w:val="000C183E"/>
    <w:rsid w:val="000D1654"/>
    <w:rsid w:val="000D42BF"/>
    <w:rsid w:val="000F0B99"/>
    <w:rsid w:val="00110ADD"/>
    <w:rsid w:val="001C25F1"/>
    <w:rsid w:val="001C3D9F"/>
    <w:rsid w:val="00244651"/>
    <w:rsid w:val="00250C6C"/>
    <w:rsid w:val="00252D02"/>
    <w:rsid w:val="002846DB"/>
    <w:rsid w:val="002F4215"/>
    <w:rsid w:val="003059D6"/>
    <w:rsid w:val="00391742"/>
    <w:rsid w:val="003A6DA2"/>
    <w:rsid w:val="004046FE"/>
    <w:rsid w:val="0044798F"/>
    <w:rsid w:val="004D1525"/>
    <w:rsid w:val="00533E92"/>
    <w:rsid w:val="005514A7"/>
    <w:rsid w:val="0056044D"/>
    <w:rsid w:val="00594ADF"/>
    <w:rsid w:val="005B7412"/>
    <w:rsid w:val="00617C99"/>
    <w:rsid w:val="00635F99"/>
    <w:rsid w:val="00673AC1"/>
    <w:rsid w:val="006A3F33"/>
    <w:rsid w:val="006E3C0A"/>
    <w:rsid w:val="0073447D"/>
    <w:rsid w:val="00754E5C"/>
    <w:rsid w:val="00776835"/>
    <w:rsid w:val="007827C0"/>
    <w:rsid w:val="007A66B0"/>
    <w:rsid w:val="007E2384"/>
    <w:rsid w:val="00834A91"/>
    <w:rsid w:val="00844C5E"/>
    <w:rsid w:val="008656F6"/>
    <w:rsid w:val="008704E7"/>
    <w:rsid w:val="00884E6B"/>
    <w:rsid w:val="008851A7"/>
    <w:rsid w:val="0089510C"/>
    <w:rsid w:val="008D25DA"/>
    <w:rsid w:val="009467B7"/>
    <w:rsid w:val="009D1475"/>
    <w:rsid w:val="00A22978"/>
    <w:rsid w:val="00A9289E"/>
    <w:rsid w:val="00AA51A1"/>
    <w:rsid w:val="00B03C82"/>
    <w:rsid w:val="00B64A9D"/>
    <w:rsid w:val="00B6568C"/>
    <w:rsid w:val="00B70824"/>
    <w:rsid w:val="00BD5487"/>
    <w:rsid w:val="00BF153C"/>
    <w:rsid w:val="00C240C4"/>
    <w:rsid w:val="00C64B9C"/>
    <w:rsid w:val="00C66DD5"/>
    <w:rsid w:val="00C80AFB"/>
    <w:rsid w:val="00C9601B"/>
    <w:rsid w:val="00CC2F5A"/>
    <w:rsid w:val="00CF27E8"/>
    <w:rsid w:val="00D4334A"/>
    <w:rsid w:val="00DD21EE"/>
    <w:rsid w:val="00DE42A0"/>
    <w:rsid w:val="00E711ED"/>
    <w:rsid w:val="00E97A83"/>
    <w:rsid w:val="00EC3E34"/>
    <w:rsid w:val="00ED322A"/>
    <w:rsid w:val="00ED4194"/>
    <w:rsid w:val="00EE60DC"/>
    <w:rsid w:val="00EF3C18"/>
    <w:rsid w:val="00F2376A"/>
    <w:rsid w:val="00F41E90"/>
    <w:rsid w:val="00FC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9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D6"/>
    <w:rPr>
      <w:b/>
      <w:bCs/>
    </w:rPr>
  </w:style>
  <w:style w:type="character" w:customStyle="1" w:styleId="tpa">
    <w:name w:val="tpa"/>
    <w:basedOn w:val="DefaultParagraphFont"/>
    <w:rsid w:val="003059D6"/>
  </w:style>
  <w:style w:type="character" w:customStyle="1" w:styleId="pt">
    <w:name w:val="pt"/>
    <w:basedOn w:val="DefaultParagraphFont"/>
    <w:rsid w:val="003059D6"/>
  </w:style>
  <w:style w:type="character" w:customStyle="1" w:styleId="tpt">
    <w:name w:val="tpt"/>
    <w:basedOn w:val="DefaultParagraphFont"/>
    <w:rsid w:val="003059D6"/>
  </w:style>
  <w:style w:type="character" w:customStyle="1" w:styleId="ar">
    <w:name w:val="ar"/>
    <w:basedOn w:val="DefaultParagraphFont"/>
    <w:rsid w:val="00C240C4"/>
  </w:style>
  <w:style w:type="character" w:customStyle="1" w:styleId="al">
    <w:name w:val="al"/>
    <w:basedOn w:val="DefaultParagraphFont"/>
    <w:rsid w:val="00C240C4"/>
  </w:style>
  <w:style w:type="character" w:customStyle="1" w:styleId="tal">
    <w:name w:val="tal"/>
    <w:basedOn w:val="DefaultParagraphFont"/>
    <w:rsid w:val="00C240C4"/>
  </w:style>
  <w:style w:type="paragraph" w:styleId="BalloonText">
    <w:name w:val="Balloon Text"/>
    <w:basedOn w:val="Normal"/>
    <w:link w:val="BalloonTextChar"/>
    <w:uiPriority w:val="99"/>
    <w:semiHidden/>
    <w:unhideWhenUsed/>
    <w:rsid w:val="00C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49603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30863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51134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757050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992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10953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8010742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6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2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55485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2346599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333876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225532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050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5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38716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43797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8625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86657.htm" TargetMode="External"/><Relationship Id="rId5" Type="http://schemas.openxmlformats.org/officeDocument/2006/relationships/hyperlink" Target="https://idrept.ro/001866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qqq</cp:lastModifiedBy>
  <cp:revision>6</cp:revision>
  <cp:lastPrinted>2021-10-22T07:55:00Z</cp:lastPrinted>
  <dcterms:created xsi:type="dcterms:W3CDTF">2022-04-20T08:37:00Z</dcterms:created>
  <dcterms:modified xsi:type="dcterms:W3CDTF">2022-04-20T08:47:00Z</dcterms:modified>
</cp:coreProperties>
</file>